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A2413" w14:textId="77777777" w:rsidR="00B91B8D" w:rsidRPr="000D5D70" w:rsidRDefault="00000000">
      <w:pPr>
        <w:spacing w:before="200" w:after="120"/>
        <w:jc w:val="center"/>
        <w:rPr>
          <w:lang w:val="sq-AL"/>
        </w:rPr>
      </w:pPr>
      <w:r w:rsidRPr="000D5D70">
        <w:rPr>
          <w:b/>
          <w:bCs/>
          <w:color w:val="1F3864"/>
          <w:sz w:val="36"/>
          <w:szCs w:val="36"/>
          <w:lang w:val="sq-AL"/>
        </w:rPr>
        <w:t>PËRMBLEDHJE E DËGJESËS PUBLIKE</w:t>
      </w:r>
    </w:p>
    <w:p w14:paraId="1EA6E431" w14:textId="77777777" w:rsidR="00B91B8D" w:rsidRPr="000D5D70" w:rsidRDefault="00000000">
      <w:pPr>
        <w:spacing w:after="80"/>
        <w:jc w:val="center"/>
        <w:rPr>
          <w:lang w:val="sq-AL"/>
        </w:rPr>
      </w:pPr>
      <w:r w:rsidRPr="000D5D70">
        <w:rPr>
          <w:color w:val="1A1A1A"/>
          <w:sz w:val="24"/>
          <w:szCs w:val="24"/>
          <w:lang w:val="sq-AL"/>
        </w:rPr>
        <w:t>Komisioni i Posaçëm Parlamentar për Reformën Administrative-Territoriale</w:t>
      </w:r>
    </w:p>
    <w:p w14:paraId="038CE5E0" w14:textId="77777777" w:rsidR="00B91B8D" w:rsidRPr="000D5D70" w:rsidRDefault="00000000">
      <w:pPr>
        <w:spacing w:after="320"/>
        <w:jc w:val="center"/>
        <w:rPr>
          <w:lang w:val="sq-AL"/>
        </w:rPr>
      </w:pPr>
      <w:r w:rsidRPr="000D5D70">
        <w:rPr>
          <w:color w:val="555555"/>
          <w:lang w:val="sq-AL"/>
        </w:rPr>
        <w:t>Qarku Lezhë  |  22 Prill 2026</w:t>
      </w:r>
    </w:p>
    <w:p w14:paraId="4F5B6D15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1.  Konteksti dhe kuadri i dëgjesës</w:t>
      </w:r>
    </w:p>
    <w:p w14:paraId="0174AD01" w14:textId="77777777" w:rsidR="00B91B8D" w:rsidRPr="000D5D70" w:rsidRDefault="00B91B8D">
      <w:pPr>
        <w:spacing w:after="100"/>
        <w:rPr>
          <w:lang w:val="sq-AL"/>
        </w:rPr>
      </w:pPr>
    </w:p>
    <w:p w14:paraId="741DA1D4" w14:textId="45027861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Dëgjesa publike e zhvilluar në Lezhë më 22 Prill 2026 shënoi sesionin e parë konsultues të Komisionit të Posaçëm Parlamentar për Reformën Administrative-Territoriale</w:t>
      </w:r>
      <w:r w:rsidR="00D3239A">
        <w:rPr>
          <w:color w:val="1A1A1A"/>
          <w:lang w:val="sq-AL"/>
        </w:rPr>
        <w:t xml:space="preserve"> </w:t>
      </w:r>
      <w:r w:rsidRPr="000D5D70">
        <w:rPr>
          <w:color w:val="1A1A1A"/>
          <w:lang w:val="sq-AL"/>
        </w:rPr>
        <w:t>(RAT). Ajo u konceptua si hap fillestar i një serie dëgjimesh në gjithë vendin, me qëllim vjeljen e opinioneve nga aktorë të shumëllojshëm: të zgjedhur vendor (kryetarë bashkish, këshilltarë bashkiakë nga spektër i gjerë politik), ish-zyrtarë, qytetarë, akademikë, gazetarë dhe përfaqësues biznesi.</w:t>
      </w:r>
    </w:p>
    <w:p w14:paraId="2FD63123" w14:textId="77777777" w:rsidR="00B91B8D" w:rsidRPr="000D5D70" w:rsidRDefault="00B91B8D">
      <w:pPr>
        <w:spacing w:after="80"/>
        <w:rPr>
          <w:lang w:val="sq-AL"/>
        </w:rPr>
      </w:pPr>
    </w:p>
    <w:p w14:paraId="4727D91E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Diskutimi u strukturua rreth tre shtyllave të politikëbërjes të shpallura nga Komisioni:</w:t>
      </w:r>
    </w:p>
    <w:p w14:paraId="61EA586F" w14:textId="34CD8957" w:rsidR="00CD0155" w:rsidRPr="000D5D70" w:rsidDel="00D3239A" w:rsidRDefault="00CD0155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Organizimi territorial dhe qeverisja</w:t>
      </w:r>
      <w:r w:rsidRPr="000D5D70" w:rsidDel="00D3239A">
        <w:rPr>
          <w:color w:val="1A1A1A"/>
          <w:lang w:val="sq-AL"/>
        </w:rPr>
        <w:t xml:space="preserve"> </w:t>
      </w:r>
    </w:p>
    <w:p w14:paraId="31EAF584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Funksionet, shërbimet dhe kompetencat</w:t>
      </w:r>
    </w:p>
    <w:p w14:paraId="69DDC8F0" w14:textId="358C1149" w:rsidR="00D3239A" w:rsidRPr="00CD0155" w:rsidRDefault="00000000" w:rsidP="00CD0155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Financat vendore</w:t>
      </w:r>
    </w:p>
    <w:p w14:paraId="41B73260" w14:textId="77777777" w:rsidR="00B91B8D" w:rsidRPr="000D5D70" w:rsidRDefault="00B91B8D">
      <w:pPr>
        <w:spacing w:after="80"/>
        <w:rPr>
          <w:lang w:val="sq-AL"/>
        </w:rPr>
      </w:pPr>
    </w:p>
    <w:p w14:paraId="2C145EFF" w14:textId="066F2D23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Dy bashkëkryetarët e Komisionit</w:t>
      </w:r>
      <w:r w:rsidR="00D3239A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nga mazhoranca dhe opozita</w:t>
      </w:r>
      <w:r w:rsidR="00D3239A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 xml:space="preserve">prezantuan qasje të ndryshme edhe ndaj rendit të prioriteteve: </w:t>
      </w:r>
      <w:r w:rsidR="00D3239A">
        <w:rPr>
          <w:color w:val="1A1A1A"/>
          <w:lang w:val="sq-AL"/>
        </w:rPr>
        <w:t>mazhoranca</w:t>
      </w:r>
      <w:r w:rsidRPr="000D5D70">
        <w:rPr>
          <w:color w:val="1A1A1A"/>
          <w:lang w:val="sq-AL"/>
        </w:rPr>
        <w:t xml:space="preserve"> theksoi se territori duhet trajtuar si rezultat i diskutimit mbi kompetencat dhe financat, ndërsa </w:t>
      </w:r>
      <w:r w:rsidR="00D3239A">
        <w:rPr>
          <w:color w:val="1A1A1A"/>
          <w:lang w:val="sq-AL"/>
        </w:rPr>
        <w:t>opozita</w:t>
      </w:r>
      <w:r w:rsidRPr="000D5D70">
        <w:rPr>
          <w:color w:val="1A1A1A"/>
          <w:lang w:val="sq-AL"/>
        </w:rPr>
        <w:t xml:space="preserve"> argumentoi se ndryshimet territoriale janë të lidhura organikisht me funksionimin e pushtetit vendor dhe nuk mund të abstraktohen prej tij. Kjo ndarje e fijeve metodologjike u reflektua edhe në kontributet e pjesëmarrësve.</w:t>
      </w:r>
    </w:p>
    <w:p w14:paraId="248D397A" w14:textId="77777777" w:rsidR="00B91B8D" w:rsidRPr="000D5D70" w:rsidRDefault="00B91B8D">
      <w:pPr>
        <w:spacing w:after="80"/>
        <w:rPr>
          <w:lang w:val="sq-AL"/>
        </w:rPr>
      </w:pPr>
    </w:p>
    <w:tbl>
      <w:tblPr>
        <w:tblW w:w="9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62"/>
      </w:tblGrid>
      <w:tr w:rsidR="00B91B8D" w:rsidRPr="000D5D70" w14:paraId="01F92419" w14:textId="77777777" w:rsidTr="00CD0155">
        <w:trPr>
          <w:trHeight w:val="1222"/>
        </w:trPr>
        <w:tc>
          <w:tcPr>
            <w:tcW w:w="9562" w:type="dxa"/>
            <w:tcBorders>
              <w:top w:val="single" w:sz="2" w:space="0" w:color="BBBBBB"/>
              <w:left w:val="single" w:sz="2" w:space="0" w:color="BBBBBB"/>
              <w:bottom w:val="single" w:sz="2" w:space="0" w:color="BBBBBB"/>
              <w:right w:val="single" w:sz="2" w:space="0" w:color="BBBBBB"/>
            </w:tcBorders>
            <w:shd w:val="clear" w:color="auto" w:fill="F2F4F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8E2B2D1" w14:textId="77777777" w:rsidR="00B91B8D" w:rsidRPr="000D5D70" w:rsidRDefault="00000000">
            <w:pPr>
              <w:spacing w:after="60"/>
              <w:rPr>
                <w:lang w:val="sq-AL"/>
              </w:rPr>
            </w:pPr>
            <w:r w:rsidRPr="000D5D70">
              <w:rPr>
                <w:b/>
                <w:bCs/>
                <w:color w:val="2E5090"/>
                <w:sz w:val="20"/>
                <w:szCs w:val="20"/>
                <w:lang w:val="sq-AL"/>
              </w:rPr>
              <w:t>Konteksti i hyrjes në BE</w:t>
            </w:r>
          </w:p>
          <w:p w14:paraId="0BF2F04B" w14:textId="77777777" w:rsidR="00B91B8D" w:rsidRPr="000D5D70" w:rsidRDefault="00000000">
            <w:pPr>
              <w:jc w:val="both"/>
              <w:rPr>
                <w:lang w:val="sq-AL"/>
              </w:rPr>
            </w:pPr>
            <w:r w:rsidRPr="000D5D70">
              <w:rPr>
                <w:color w:val="1A1A1A"/>
                <w:sz w:val="20"/>
                <w:szCs w:val="20"/>
                <w:lang w:val="sq-AL"/>
              </w:rPr>
              <w:t>Të dy bashkëkryetarët evidentuan se perspektiva e pranimit të Shqipërisë në BE brenda 3–4 viteve krijon urgjencë të shtuar: fondet e kohezionit dhe ato strukturore të BE-së kërkojnë bashki me kapacitete absorbuese. Ky argument u paraqit si motivim shtesë për reformën, indipendentisht nga debati territorial.</w:t>
            </w:r>
          </w:p>
        </w:tc>
      </w:tr>
    </w:tbl>
    <w:p w14:paraId="4DEA850F" w14:textId="77777777" w:rsidR="00B91B8D" w:rsidRPr="000D5D70" w:rsidRDefault="00B91B8D">
      <w:pPr>
        <w:spacing w:after="200"/>
        <w:rPr>
          <w:lang w:val="sq-AL"/>
        </w:rPr>
      </w:pPr>
    </w:p>
    <w:p w14:paraId="38FF7036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2.  Organizimi territorial dhe qeverisja</w:t>
      </w:r>
    </w:p>
    <w:p w14:paraId="3A809757" w14:textId="77777777" w:rsidR="00B91B8D" w:rsidRPr="000D5D70" w:rsidRDefault="00B91B8D">
      <w:pPr>
        <w:spacing w:after="100"/>
        <w:rPr>
          <w:lang w:val="sq-AL"/>
        </w:rPr>
      </w:pPr>
    </w:p>
    <w:p w14:paraId="723AC8A2" w14:textId="722358C1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Çështja territoriale gjeneroi debatin më të gjallë dhe qëndrimet e polarizuara. Identifikohen tre boshte kryesore argumentuese</w:t>
      </w:r>
      <w:r w:rsidR="00D3239A">
        <w:rPr>
          <w:color w:val="1A1A1A"/>
          <w:lang w:val="sq-AL"/>
        </w:rPr>
        <w:t>.</w:t>
      </w:r>
    </w:p>
    <w:p w14:paraId="542FDB7F" w14:textId="77777777" w:rsidR="00B91B8D" w:rsidRPr="000D5D70" w:rsidRDefault="00B91B8D">
      <w:pPr>
        <w:spacing w:after="120"/>
        <w:rPr>
          <w:lang w:val="sq-AL"/>
        </w:rPr>
      </w:pPr>
    </w:p>
    <w:p w14:paraId="4B047FA9" w14:textId="3FC8B5B8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2.1  Argumentet për rishikim territorial</w:t>
      </w:r>
    </w:p>
    <w:p w14:paraId="06A25F26" w14:textId="77777777" w:rsidR="00B91B8D" w:rsidRPr="000D5D70" w:rsidRDefault="00B91B8D">
      <w:pPr>
        <w:spacing w:after="80"/>
        <w:rPr>
          <w:lang w:val="sq-AL"/>
        </w:rPr>
      </w:pPr>
    </w:p>
    <w:p w14:paraId="1E28E5BC" w14:textId="312908F9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 xml:space="preserve">Një grup i gjerë pjesëmarrësish </w:t>
      </w:r>
      <w:r w:rsidR="000D5D70">
        <w:rPr>
          <w:color w:val="1A1A1A"/>
          <w:lang w:val="sq-AL"/>
        </w:rPr>
        <w:t>duke p</w:t>
      </w:r>
      <w:r w:rsidR="000D5D70" w:rsidRPr="000D5D70">
        <w:rPr>
          <w:color w:val="1A1A1A"/>
          <w:lang w:val="sq-AL"/>
        </w:rPr>
        <w:t>ë</w:t>
      </w:r>
      <w:r w:rsidR="000D5D70">
        <w:rPr>
          <w:color w:val="1A1A1A"/>
          <w:lang w:val="sq-AL"/>
        </w:rPr>
        <w:t>rfshir</w:t>
      </w:r>
      <w:r w:rsidR="000D5D70" w:rsidRPr="000D5D70">
        <w:rPr>
          <w:color w:val="1A1A1A"/>
          <w:lang w:val="sq-AL"/>
        </w:rPr>
        <w:t>ë</w:t>
      </w:r>
      <w:r w:rsidRPr="000D5D70">
        <w:rPr>
          <w:color w:val="1A1A1A"/>
          <w:lang w:val="sq-AL"/>
        </w:rPr>
        <w:t xml:space="preserve"> të zgjedhur vendor, ish-zyrtarë dhe qytetarë</w:t>
      </w:r>
      <w:r w:rsidR="000D5D70">
        <w:rPr>
          <w:color w:val="1A1A1A"/>
          <w:lang w:val="sq-AL"/>
        </w:rPr>
        <w:t xml:space="preserve"> </w:t>
      </w:r>
      <w:r w:rsidRPr="000D5D70">
        <w:rPr>
          <w:color w:val="1A1A1A"/>
          <w:lang w:val="sq-AL"/>
        </w:rPr>
        <w:t>argumentuan se reforma e 2015-s ka prodhuar</w:t>
      </w:r>
      <w:r w:rsidR="000D5D70">
        <w:rPr>
          <w:color w:val="1A1A1A"/>
          <w:lang w:val="sq-AL"/>
        </w:rPr>
        <w:t xml:space="preserve"> disa</w:t>
      </w:r>
      <w:r w:rsidRPr="000D5D70">
        <w:rPr>
          <w:color w:val="1A1A1A"/>
          <w:lang w:val="sq-AL"/>
        </w:rPr>
        <w:t xml:space="preserve"> </w:t>
      </w:r>
      <w:r w:rsidR="000D5D70">
        <w:rPr>
          <w:color w:val="1A1A1A"/>
          <w:lang w:val="sq-AL"/>
        </w:rPr>
        <w:t>pabarazi,</w:t>
      </w:r>
      <w:r w:rsidRPr="000D5D70">
        <w:rPr>
          <w:color w:val="1A1A1A"/>
          <w:lang w:val="sq-AL"/>
        </w:rPr>
        <w:t xml:space="preserve"> duke ngritur argumente konkrete:</w:t>
      </w:r>
    </w:p>
    <w:p w14:paraId="47CE051F" w14:textId="1D673F99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Asimetria e reformës</w:t>
      </w:r>
      <w:r w:rsidR="000D5D70">
        <w:rPr>
          <w:lang w:val="sq-AL"/>
        </w:rPr>
        <w:t xml:space="preserve"> </w:t>
      </w:r>
      <w:r w:rsidR="00D3239A">
        <w:rPr>
          <w:lang w:val="sq-AL"/>
        </w:rPr>
        <w:t>së 2015-s</w:t>
      </w:r>
    </w:p>
    <w:p w14:paraId="45A75E1D" w14:textId="5110C80F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 xml:space="preserve">U dokumentua se qarku i Lezhës me rreth 210.000 banorë u bashkua në 3 njësi, ndërkohë që qarku i Gjirokastrës me rreth 70.000 banorë ruan 7 njësi vendore (Gjirokastra, Përmet, Këlcyra, Libohova, Dropulli, Maliaj, Tepelena). Kjo disproporcionalitet u vu në dukje si tregues se ndarja e 2015-s </w:t>
      </w:r>
      <w:r w:rsidR="00D3239A">
        <w:rPr>
          <w:color w:val="1A1A1A"/>
          <w:lang w:val="sq-AL"/>
        </w:rPr>
        <w:t xml:space="preserve">nuk ishte uniforme. </w:t>
      </w:r>
    </w:p>
    <w:p w14:paraId="5F2AFCD7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lastRenderedPageBreak/>
        <w:t>Largësia e qeverisjes nga qytetari</w:t>
      </w:r>
    </w:p>
    <w:p w14:paraId="26E47BEE" w14:textId="0DCB1F96" w:rsidR="00B91B8D" w:rsidRPr="000D5D70" w:rsidRDefault="00000000" w:rsidP="00CD0155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 xml:space="preserve">Bashki me sipërfaqe shumë të mëdha krijojnë distanca fizike dhe administrative të papërballueshme, sidomos në zonat malore e periferike. U argumentua se kjo distancë kontribuon në demoralizimin qytetar dhe të </w:t>
      </w:r>
      <w:r w:rsidR="00FE7F1B">
        <w:rPr>
          <w:color w:val="1A1A1A"/>
          <w:lang w:val="sq-AL"/>
        </w:rPr>
        <w:t>uljes s</w:t>
      </w:r>
      <w:r w:rsidR="00FE7F1B" w:rsidRPr="000D5D70">
        <w:rPr>
          <w:color w:val="1A1A1A"/>
          <w:lang w:val="sq-AL"/>
        </w:rPr>
        <w:t>ë</w:t>
      </w:r>
      <w:r w:rsidR="00FE7F1B">
        <w:rPr>
          <w:color w:val="1A1A1A"/>
          <w:lang w:val="sq-AL"/>
        </w:rPr>
        <w:t xml:space="preserve"> pjsmarrjes n</w:t>
      </w:r>
      <w:r w:rsidR="00FE7F1B" w:rsidRPr="000D5D70">
        <w:rPr>
          <w:color w:val="1A1A1A"/>
          <w:lang w:val="sq-AL"/>
        </w:rPr>
        <w:t>ë</w:t>
      </w:r>
      <w:r w:rsidR="00FE7F1B">
        <w:rPr>
          <w:color w:val="1A1A1A"/>
          <w:lang w:val="sq-AL"/>
        </w:rPr>
        <w:t xml:space="preserve"> demokracin</w:t>
      </w:r>
      <w:r w:rsidR="00FE7F1B" w:rsidRPr="000D5D70">
        <w:rPr>
          <w:color w:val="1A1A1A"/>
          <w:lang w:val="sq-AL"/>
        </w:rPr>
        <w:t>ë</w:t>
      </w:r>
      <w:r w:rsidRPr="000D5D70">
        <w:rPr>
          <w:color w:val="1A1A1A"/>
          <w:lang w:val="sq-AL"/>
        </w:rPr>
        <w:t xml:space="preserve"> lokal</w:t>
      </w:r>
      <w:r w:rsidR="00FE7F1B">
        <w:rPr>
          <w:color w:val="1A1A1A"/>
          <w:lang w:val="sq-AL"/>
        </w:rPr>
        <w:t>e</w:t>
      </w:r>
      <w:r w:rsidRPr="000D5D70">
        <w:rPr>
          <w:color w:val="1A1A1A"/>
          <w:lang w:val="sq-AL"/>
        </w:rPr>
        <w:t>, dhe nuk trajtohet dot vetëm me digjitalizim të shërbimeve.</w:t>
      </w:r>
    </w:p>
    <w:p w14:paraId="26731495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Identiteti komunitar si vlerë e qeverisjes</w:t>
      </w:r>
    </w:p>
    <w:p w14:paraId="27E957AB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Zona si Kurbini dhe Mirëdita u evokuan jo vetëm si identitete kulturore, por si territore me karakteristika specifike gjeografike, ekonomike dhe administrative (p.sh. sistemi unik ujitës-kullandës i Kurbinit, pasuria pyjore e Mirëditës) që kërkojnë njësi vendore me njohuri të ngushta lokale. Ish-kryetar i komunës së Oroshit shprehu shqetësimin se autoriteti vendor është bëre tepër i larguar nga komunitetet konkrete.</w:t>
      </w:r>
    </w:p>
    <w:p w14:paraId="32BFF0F9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Propozimi i ndarjes funksionale</w:t>
      </w:r>
    </w:p>
    <w:p w14:paraId="088C3E47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hodh ideja e ndarjes territoriale mbi bazën e tipologjisë ekonomike (zona urbane, zona bujqësore, zona turistike/bregdetare), duke argumentuar se administrimi multisektorial i bashkive shumë të mëdha redukton efektivitetin e politikave sektoriale.</w:t>
      </w:r>
    </w:p>
    <w:p w14:paraId="6A86DB6F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Ndryshimi i kufijve historikë – rasti Mirëditë</w:t>
      </w:r>
    </w:p>
    <w:p w14:paraId="529D3340" w14:textId="2E4164B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Kryetari i Bashkisë Mirëditë vuri në dukje se sipërfaqja territoriale aktuale e Mirëditës (867 km²) është rreth gjysma e asaj historike, pasi 840 km² iu hoqën në 1949 dhe u bashkangjitën bashkive fqinjë (Lezhë, Pukë, Mat, Dibër). Edhe pse u larg</w:t>
      </w:r>
      <w:r w:rsidR="00143913">
        <w:rPr>
          <w:color w:val="1A1A1A"/>
          <w:lang w:val="sq-AL"/>
        </w:rPr>
        <w:t>ua</w:t>
      </w:r>
      <w:r w:rsidRPr="000D5D70">
        <w:rPr>
          <w:color w:val="1A1A1A"/>
          <w:lang w:val="sq-AL"/>
        </w:rPr>
        <w:t xml:space="preserve"> nga çdo pretendim rivendikues, u argumentua se kjo fragmentim artificial ka ndikuar negativisht në kapacitetin ekonomik dhe koherencën territoriale.</w:t>
      </w:r>
    </w:p>
    <w:p w14:paraId="3B33F5D5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2.2  Argumentet për konsolidim dhe stabilitet territorial</w:t>
      </w:r>
    </w:p>
    <w:p w14:paraId="536AD1FB" w14:textId="77777777" w:rsidR="00B91B8D" w:rsidRPr="000D5D70" w:rsidRDefault="00B91B8D">
      <w:pPr>
        <w:spacing w:after="80"/>
        <w:rPr>
          <w:lang w:val="sq-AL"/>
        </w:rPr>
      </w:pPr>
    </w:p>
    <w:p w14:paraId="44066FB6" w14:textId="77D04C6A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Një grup tjetër kryesisht kryetarë bashkish aktualisht në detyrë</w:t>
      </w:r>
      <w:r w:rsidR="000D5D70">
        <w:rPr>
          <w:color w:val="1A1A1A"/>
          <w:lang w:val="sq-AL"/>
        </w:rPr>
        <w:t>,</w:t>
      </w:r>
      <w:r w:rsidRPr="000D5D70">
        <w:rPr>
          <w:color w:val="1A1A1A"/>
          <w:lang w:val="sq-AL"/>
        </w:rPr>
        <w:t xml:space="preserve"> disa këshilltarë</w:t>
      </w:r>
      <w:r w:rsidR="000D5D70">
        <w:rPr>
          <w:color w:val="1A1A1A"/>
          <w:lang w:val="sq-AL"/>
        </w:rPr>
        <w:t xml:space="preserve"> dhe qytetare</w:t>
      </w:r>
      <w:r w:rsidRPr="000D5D70">
        <w:rPr>
          <w:color w:val="1A1A1A"/>
          <w:lang w:val="sq-AL"/>
        </w:rPr>
        <w:t xml:space="preserve"> kundërshtuan ristrukturimin territorial, duke mbrojtur qëndrueshmërinë e modelit aktual:</w:t>
      </w:r>
    </w:p>
    <w:p w14:paraId="68140A87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Rritja e kapaciteteve administrative</w:t>
      </w:r>
    </w:p>
    <w:p w14:paraId="63E4BF59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Bashkitë e mëdha kanë mundësi të punësojnë specialistë (urbanistë, juristë, ekonomistë, topografë) që bashkitë e vogla nuk do t'i kishin kurrë. Kryetarja e Bashkisë Kurbin argumentoi se edhe sot vuan mungesa specialistësh, gjë që do të thellohej nëse do të fragmentohej bashkia.</w:t>
      </w:r>
    </w:p>
    <w:p w14:paraId="291FBBF7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Efikasiteti ekonomik dhe ekonomitë e shkallës</w:t>
      </w:r>
    </w:p>
    <w:p w14:paraId="417AC4ED" w14:textId="200ABECA" w:rsidR="00B91B8D" w:rsidRPr="000D5D70" w:rsidRDefault="00D3239A">
      <w:pPr>
        <w:spacing w:before="80" w:after="80"/>
        <w:jc w:val="both"/>
        <w:rPr>
          <w:lang w:val="sq-AL"/>
        </w:rPr>
      </w:pPr>
      <w:r>
        <w:rPr>
          <w:color w:val="1A1A1A"/>
          <w:lang w:val="sq-AL"/>
        </w:rPr>
        <w:t>U argumentua se b</w:t>
      </w:r>
      <w:r w:rsidRPr="000D5D70">
        <w:rPr>
          <w:color w:val="1A1A1A"/>
          <w:lang w:val="sq-AL"/>
        </w:rPr>
        <w:t>ashkitë e mëdha mundësojnë plane zhvillimi territoriale, infrastrukturë dhe planifikim modern. U citua rasti i Lezhës si shembull bashkie që ka arritur tregues pozitivë: buxheti u rrit nga 8,3 miliardë lekë para reformës në 25,5 miliardë; borxhi nga 6,8 miliardë iku në zero; investimet shkuan 60% të buxhetit drejt zonave rurale.</w:t>
      </w:r>
    </w:p>
    <w:p w14:paraId="7326C4A8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Problemet janë të administrimit, jo të territorit</w:t>
      </w:r>
    </w:p>
    <w:p w14:paraId="55EFC352" w14:textId="219A9736" w:rsidR="00D3239A" w:rsidRPr="00575B56" w:rsidRDefault="00000000">
      <w:pPr>
        <w:spacing w:before="80" w:after="80"/>
        <w:jc w:val="both"/>
        <w:rPr>
          <w:color w:val="1A1A1A"/>
          <w:lang w:val="sq-AL"/>
        </w:rPr>
      </w:pPr>
      <w:r w:rsidRPr="000D5D70">
        <w:rPr>
          <w:color w:val="1A1A1A"/>
          <w:lang w:val="sq-AL"/>
        </w:rPr>
        <w:t xml:space="preserve">U argumentua </w:t>
      </w:r>
      <w:r w:rsidR="00D3239A">
        <w:rPr>
          <w:color w:val="1A1A1A"/>
          <w:lang w:val="sq-AL"/>
        </w:rPr>
        <w:t xml:space="preserve">gjithashtu </w:t>
      </w:r>
      <w:r w:rsidRPr="000D5D70">
        <w:rPr>
          <w:color w:val="1A1A1A"/>
          <w:lang w:val="sq-AL"/>
        </w:rPr>
        <w:t>se defektet e evidentuara</w:t>
      </w:r>
      <w:r w:rsidR="00D3239A">
        <w:rPr>
          <w:color w:val="1A1A1A"/>
          <w:lang w:val="sq-AL"/>
        </w:rPr>
        <w:t xml:space="preserve">, si </w:t>
      </w:r>
      <w:r w:rsidRPr="000D5D70">
        <w:rPr>
          <w:color w:val="1A1A1A"/>
          <w:lang w:val="sq-AL"/>
        </w:rPr>
        <w:t>shpërndarje e pabarabartë e shërbimeve, borxhe, kapacitete të ulëta</w:t>
      </w:r>
      <w:r w:rsidR="00D3239A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janë pasojë e menaxhimit të dobët dhe mungesës së kompetencave financiare, jo të modelit territorial. Ndryshimi i kufijve nuk do t'i zgjidhë këto probleme në mungesë reformash thelbësore të kompetencave dhe financimit.</w:t>
      </w:r>
    </w:p>
    <w:p w14:paraId="6EC9A773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Unifikimi i kufijve administrativë, fiskalë dhe elektoralë</w:t>
      </w:r>
    </w:p>
    <w:p w14:paraId="677DBDB4" w14:textId="601E51E1" w:rsidR="00B91B8D" w:rsidRDefault="00000000" w:rsidP="00CD0155">
      <w:pPr>
        <w:spacing w:before="80" w:after="80"/>
        <w:jc w:val="both"/>
        <w:rPr>
          <w:color w:val="1A1A1A"/>
          <w:lang w:val="sq-AL"/>
        </w:rPr>
      </w:pPr>
      <w:r w:rsidRPr="000D5D70">
        <w:rPr>
          <w:color w:val="1A1A1A"/>
          <w:lang w:val="sq-AL"/>
        </w:rPr>
        <w:t>Ish-kryetari i Bashkisë Lezhë vuri në dukje se reforma e 2015-s arriti të unifikojë kufijtë fiskalë, administrativë, urbanë dhe elektoralë</w:t>
      </w:r>
      <w:r w:rsidR="00D3239A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duke zgjidhur konfuzione praktike kronike (qytetarë që paguanin taksa në bashki dhe kërkonin leje ndërtimi te komuna etj.).</w:t>
      </w:r>
    </w:p>
    <w:p w14:paraId="349BB864" w14:textId="77777777" w:rsidR="00575B56" w:rsidRDefault="00575B56" w:rsidP="00CD0155">
      <w:pPr>
        <w:spacing w:before="80" w:after="80"/>
        <w:jc w:val="both"/>
        <w:rPr>
          <w:color w:val="1A1A1A"/>
          <w:lang w:val="sq-AL"/>
        </w:rPr>
      </w:pPr>
    </w:p>
    <w:p w14:paraId="0499F6B8" w14:textId="77777777" w:rsidR="00575B56" w:rsidRPr="000D5D70" w:rsidRDefault="00575B56" w:rsidP="00CD0155">
      <w:pPr>
        <w:spacing w:before="80" w:after="80"/>
        <w:jc w:val="both"/>
        <w:rPr>
          <w:lang w:val="sq-AL"/>
        </w:rPr>
      </w:pPr>
    </w:p>
    <w:p w14:paraId="5DE39B79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lastRenderedPageBreak/>
        <w:t>2.3  Perspektiva e konvergencës: Qarku Lezhë si zonë pilot</w:t>
      </w:r>
    </w:p>
    <w:p w14:paraId="7FD05F2C" w14:textId="77777777" w:rsidR="00B91B8D" w:rsidRPr="000D5D70" w:rsidRDefault="00B91B8D">
      <w:pPr>
        <w:spacing w:after="80"/>
        <w:rPr>
          <w:lang w:val="sq-AL"/>
        </w:rPr>
      </w:pPr>
    </w:p>
    <w:p w14:paraId="6C9C6574" w14:textId="0637FD62" w:rsidR="00B91B8D" w:rsidRPr="000D5D70" w:rsidRDefault="00000000" w:rsidP="00CD0155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Pavarësisht ndarjeve, u hodh propozimi nga disa pjesëmarrës se Qarku Lezhë mund të funksionojë si zonë pilot e një qasjeje të integruar zhvillimore, duke shfrytëzuar diversitetin gjeografik dhe ekonomik të qarkut (bregdet/turizëm – Lezhë; industri e lehtë – Kurbin; pyjore/agroturizëm – Mirëditë). Kjo qasje parashikon jo vetëm reformë territoriale, por politika diferencuese zhvillimi sipas profilimit ekonomik të territoreve.</w:t>
      </w:r>
    </w:p>
    <w:p w14:paraId="46ED088E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3.  Funksionet dhe kompetencat</w:t>
      </w:r>
    </w:p>
    <w:p w14:paraId="0E6DFB57" w14:textId="77777777" w:rsidR="00B91B8D" w:rsidRPr="000D5D70" w:rsidRDefault="00B91B8D">
      <w:pPr>
        <w:spacing w:after="100"/>
        <w:rPr>
          <w:lang w:val="sq-AL"/>
        </w:rPr>
      </w:pPr>
    </w:p>
    <w:p w14:paraId="14CCA904" w14:textId="435FD13F" w:rsidR="00B91B8D" w:rsidRPr="000D5D70" w:rsidRDefault="00000000" w:rsidP="00CD0155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Konverg</w:t>
      </w:r>
      <w:r w:rsidR="005034D3">
        <w:rPr>
          <w:color w:val="1A1A1A"/>
          <w:lang w:val="sq-AL"/>
        </w:rPr>
        <w:t>j</w:t>
      </w:r>
      <w:r w:rsidRPr="000D5D70">
        <w:rPr>
          <w:color w:val="1A1A1A"/>
          <w:lang w:val="sq-AL"/>
        </w:rPr>
        <w:t>enca më e gjerë e dëgjesës u arrit në temën e kompetencave: pjesëmarrës nga e gjithë spektri</w:t>
      </w:r>
      <w:r w:rsidR="005034D3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pavarësisht qëndrimit ndaj territorit</w:t>
      </w:r>
      <w:r w:rsidR="005034D3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u bashkuan rreth diagnostikës se pushteti vendor operon me kompetenca të reduktuara, të paqarta ose të penalizuara de facto nga qeveria qendrore.</w:t>
      </w:r>
    </w:p>
    <w:p w14:paraId="0A7CAC9D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3.1  Centralizimi progresiv: shërbimet e humbura</w:t>
      </w:r>
    </w:p>
    <w:p w14:paraId="09E258A0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Furnizimi me ujë</w:t>
      </w:r>
    </w:p>
    <w:p w14:paraId="4B6E9BA3" w14:textId="7CDFCA0D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Ky shërbim u centralizua në kompanitë rajonale (me aksion</w:t>
      </w:r>
      <w:r w:rsidR="00CD0155">
        <w:rPr>
          <w:color w:val="1A1A1A"/>
          <w:lang w:val="sq-AL"/>
        </w:rPr>
        <w:t>er</w:t>
      </w:r>
      <w:r w:rsidRPr="000D5D70">
        <w:rPr>
          <w:color w:val="1A1A1A"/>
          <w:lang w:val="sq-AL"/>
        </w:rPr>
        <w:t xml:space="preserve"> 51% shtet, 49% bashki), duke hequr autoritetin vendimtar nga këshillat bashkiakë. Rasti konkret i Lezhës ilustroi tensionin: Rregullatori i Ujit rriti tarifat në mënyrë të njëanshme, pavarësisht votës unanime kundër të tre këshillave bashkiakë. Kryetari i Bashkisë Lezhë argumentoi se bashkia e tij, duke qenë ujësjellës rentabël, financonte de facto ujësjellësat joprofitabël të qarkut. Kjo situatë u cilësua si shkelje e autonomisë vendore dhe e Kartës Europiane të Autonomisë Vendore.</w:t>
      </w:r>
    </w:p>
    <w:p w14:paraId="05484155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Menaxhimi i pyjeve</w:t>
      </w:r>
    </w:p>
    <w:p w14:paraId="3FFF1CA4" w14:textId="6807F6F9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Pyjet u transferuan bashkive me reformën e 2015-s, por bashkitë nuk arritën as t'i menaxhonin (mungesë e planeve të menaxhimit për 8 vjet rresht), as të krijonin kompanitë e parashikuara me ligj. U argumentua se ky dështim solli ri-centralizimin de facto, ndërkohë që potenciali ekonomik 75% e sipërfaqes shqiptare është e pyjore dhe gjeneron vetëm 3 milionë euro/vit për bashkitë mbetet i pashfrytëzuar.</w:t>
      </w:r>
    </w:p>
    <w:p w14:paraId="7FF39A04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Lejet e ndërtimit</w:t>
      </w:r>
    </w:p>
    <w:p w14:paraId="3F687FBE" w14:textId="68E69CC6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raportua se kufizimi 6+4 katësh (vendim qeveritar) anuloi efektshmërinë e Planeve të Përgjithshme Rregulluese të miratuara bashk</w:t>
      </w:r>
      <w:r w:rsidR="005034D3">
        <w:rPr>
          <w:color w:val="1A1A1A"/>
          <w:lang w:val="sq-AL"/>
        </w:rPr>
        <w:t>ar</w:t>
      </w:r>
      <w:r w:rsidRPr="000D5D70">
        <w:rPr>
          <w:color w:val="1A1A1A"/>
          <w:lang w:val="sq-AL"/>
        </w:rPr>
        <w:t>isht nga bashkitë dhe qeveria, duke krijuar bllokime juridike dhe operacionale. Bashkitë humbën autonomi operative edhe pasi kishin investuar në planifikimin urban.</w:t>
      </w:r>
    </w:p>
    <w:p w14:paraId="4AA1772A" w14:textId="08ECE976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Plazh</w:t>
      </w:r>
      <w:r w:rsidR="00CD0155">
        <w:rPr>
          <w:lang w:val="sq-AL"/>
        </w:rPr>
        <w:t>e</w:t>
      </w:r>
      <w:r w:rsidRPr="000D5D70">
        <w:rPr>
          <w:lang w:val="sq-AL"/>
        </w:rPr>
        <w:t>t dhe burimet natyrore</w:t>
      </w:r>
    </w:p>
    <w:p w14:paraId="2F6565A5" w14:textId="4DEB3B9F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ngrit argumenti se konçesionet e plazheve u transferuan në nivelin e ministrisë, duke privuar bashkitë bregdetare nga burimi i të ardhurave dhe nga kontroll mbi aktivitetin ekonomik sezonal. U pranua gjerësisht se ky është rast unikal ndërkombëtarisht</w:t>
      </w:r>
      <w:r w:rsidR="005034D3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plazhët administrohen nga qeveria qendrore vetëm në Shqipëri.</w:t>
      </w:r>
    </w:p>
    <w:p w14:paraId="1655B870" w14:textId="77777777" w:rsidR="005034D3" w:rsidRPr="000D5D70" w:rsidRDefault="005034D3">
      <w:pPr>
        <w:spacing w:after="160"/>
        <w:rPr>
          <w:lang w:val="sq-AL"/>
        </w:rPr>
      </w:pPr>
    </w:p>
    <w:p w14:paraId="485B5EF8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3.2  Tensioni mes legjislacionit dhe praktikës</w:t>
      </w:r>
    </w:p>
    <w:p w14:paraId="21C26F4F" w14:textId="77777777" w:rsidR="005034D3" w:rsidRPr="000D5D70" w:rsidRDefault="005034D3">
      <w:pPr>
        <w:spacing w:after="80"/>
        <w:rPr>
          <w:lang w:val="sq-AL"/>
        </w:rPr>
      </w:pPr>
    </w:p>
    <w:p w14:paraId="4C8F22EA" w14:textId="47BB223A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evidentua nda</w:t>
      </w:r>
      <w:r w:rsidR="00A57896">
        <w:rPr>
          <w:color w:val="1A1A1A"/>
          <w:lang w:val="sq-AL"/>
        </w:rPr>
        <w:t>rje</w:t>
      </w:r>
      <w:r w:rsidRPr="000D5D70">
        <w:rPr>
          <w:color w:val="1A1A1A"/>
          <w:lang w:val="sq-AL"/>
        </w:rPr>
        <w:t xml:space="preserve"> </w:t>
      </w:r>
      <w:r w:rsidR="00A57896">
        <w:rPr>
          <w:color w:val="1A1A1A"/>
          <w:lang w:val="sq-AL"/>
        </w:rPr>
        <w:t>e</w:t>
      </w:r>
      <w:r w:rsidRPr="000D5D70">
        <w:rPr>
          <w:color w:val="1A1A1A"/>
          <w:lang w:val="sq-AL"/>
        </w:rPr>
        <w:t xml:space="preserve"> qartë mes ligjit organik (i cili u jep bashkive 41+ funksione) dhe praktikës administrative:</w:t>
      </w:r>
    </w:p>
    <w:p w14:paraId="2A3B3BDB" w14:textId="22933735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 xml:space="preserve">VKM-të dhe urdhrat ministrorë kanë </w:t>
      </w:r>
      <w:r w:rsidR="00143913">
        <w:rPr>
          <w:color w:val="1A1A1A"/>
          <w:lang w:val="sq-AL"/>
        </w:rPr>
        <w:t>limituar</w:t>
      </w:r>
      <w:r w:rsidR="00575B56">
        <w:rPr>
          <w:color w:val="1A1A1A"/>
          <w:lang w:val="sq-AL"/>
        </w:rPr>
        <w:t xml:space="preserve"> pjeserisht disa</w:t>
      </w:r>
      <w:r w:rsidR="00143913">
        <w:rPr>
          <w:color w:val="1A1A1A"/>
          <w:lang w:val="sq-AL"/>
        </w:rPr>
        <w:t xml:space="preserve"> </w:t>
      </w:r>
      <w:r w:rsidRPr="000D5D70">
        <w:rPr>
          <w:color w:val="1A1A1A"/>
          <w:lang w:val="sq-AL"/>
        </w:rPr>
        <w:t>kompetenca të dhëna me ligj organik</w:t>
      </w:r>
      <w:r w:rsidR="00143913">
        <w:rPr>
          <w:color w:val="1A1A1A"/>
          <w:lang w:val="sq-AL"/>
        </w:rPr>
        <w:t>.</w:t>
      </w:r>
    </w:p>
    <w:p w14:paraId="3D741A06" w14:textId="606E7A4D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lastRenderedPageBreak/>
        <w:t>Pushteti vendor ka të drejtë t'i kundërshtojë këto akte, por procedura</w:t>
      </w:r>
      <w:r w:rsidR="00143913">
        <w:rPr>
          <w:color w:val="1A1A1A"/>
          <w:lang w:val="sq-AL"/>
        </w:rPr>
        <w:t xml:space="preserve"> </w:t>
      </w:r>
      <w:r w:rsidR="00143913" w:rsidRPr="000D5D70">
        <w:rPr>
          <w:color w:val="1A1A1A"/>
          <w:lang w:val="sq-AL"/>
        </w:rPr>
        <w:t>ë</w:t>
      </w:r>
      <w:r w:rsidR="00143913">
        <w:rPr>
          <w:color w:val="1A1A1A"/>
          <w:lang w:val="sq-AL"/>
        </w:rPr>
        <w:t>sht</w:t>
      </w:r>
      <w:r w:rsidR="00143913" w:rsidRPr="000D5D70">
        <w:rPr>
          <w:color w:val="1A1A1A"/>
          <w:lang w:val="sq-AL"/>
        </w:rPr>
        <w:t>ë</w:t>
      </w:r>
      <w:r w:rsidR="00143913">
        <w:rPr>
          <w:color w:val="1A1A1A"/>
          <w:lang w:val="sq-AL"/>
        </w:rPr>
        <w:t xml:space="preserve"> e gjat</w:t>
      </w:r>
      <w:r w:rsidR="00143913" w:rsidRPr="000D5D70">
        <w:rPr>
          <w:color w:val="1A1A1A"/>
          <w:lang w:val="sq-AL"/>
        </w:rPr>
        <w:t>ë</w:t>
      </w:r>
      <w:r w:rsidR="00143913">
        <w:rPr>
          <w:color w:val="1A1A1A"/>
          <w:lang w:val="sq-AL"/>
        </w:rPr>
        <w:t xml:space="preserve"> dhe komplekse. </w:t>
      </w:r>
      <w:r w:rsidRPr="000D5D70">
        <w:rPr>
          <w:color w:val="1A1A1A"/>
          <w:lang w:val="sq-AL"/>
        </w:rPr>
        <w:t xml:space="preserve"> </w:t>
      </w:r>
    </w:p>
    <w:p w14:paraId="2A172D60" w14:textId="7484B136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 xml:space="preserve">Bashkitë kanë funksione, por </w:t>
      </w:r>
      <w:r w:rsidR="00575B56">
        <w:rPr>
          <w:color w:val="1A1A1A"/>
          <w:lang w:val="sq-AL"/>
        </w:rPr>
        <w:t>per disa funksione</w:t>
      </w:r>
      <w:r w:rsidRPr="000D5D70">
        <w:rPr>
          <w:color w:val="1A1A1A"/>
          <w:lang w:val="sq-AL"/>
        </w:rPr>
        <w:t xml:space="preserve"> u mungon autoriteti real (financiar, teknik, ligjor) për t'i ushtruar ato</w:t>
      </w:r>
      <w:r w:rsidR="005034D3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sidomos bashkitë e vogla si Mirëdita.</w:t>
      </w:r>
    </w:p>
    <w:p w14:paraId="728FFEE6" w14:textId="218F687E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3.3  Kapacitetet administrative si kusht paraprak</w:t>
      </w:r>
    </w:p>
    <w:p w14:paraId="1932BB83" w14:textId="77777777" w:rsidR="00B91B8D" w:rsidRPr="000D5D70" w:rsidRDefault="00B91B8D">
      <w:pPr>
        <w:spacing w:after="80"/>
        <w:rPr>
          <w:lang w:val="sq-AL"/>
        </w:rPr>
      </w:pPr>
    </w:p>
    <w:p w14:paraId="4A50511A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ngrit çështja e kufizimeve reale të kapaciteteve administrative të bashkive, sidomos atyre me popullsi të vogël ose zonat malore:</w:t>
      </w:r>
    </w:p>
    <w:p w14:paraId="06443B59" w14:textId="0C3CBB6A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Bashkia Mirëditë – me buxhet vjetor 4 herë më të vogël se Lezha dhe sipërfaqe territoriale tre herë më të madhe</w:t>
      </w:r>
      <w:r w:rsidR="00A57896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nuk mund të rekrutojë specialistë teknikë të nevojshëm.</w:t>
      </w:r>
    </w:p>
    <w:p w14:paraId="02A58433" w14:textId="4B22AFF4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U propozua si alternativë bashkëpunimi ndërbashkiak i strukturuar (modeli europian i shërbimeve të ndara), pa domosdoshmërisht ndryshim territorial.</w:t>
      </w:r>
      <w:r w:rsidR="000D5D70">
        <w:rPr>
          <w:color w:val="1A1A1A"/>
          <w:lang w:val="sq-AL"/>
        </w:rPr>
        <w:t xml:space="preserve"> </w:t>
      </w:r>
    </w:p>
    <w:p w14:paraId="22CD5B37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Kryetarë të bashkive prezente konfirmuan se janë marrë asistencë teknike nga programe mbështetëse (p.sh. Bashkitë e Forta/USAID) dhe se replikimi i praktikave të mira ndërmjet bashkive po funksionon pjesërisht.</w:t>
      </w:r>
    </w:p>
    <w:p w14:paraId="3B3119C9" w14:textId="77777777" w:rsidR="00B91B8D" w:rsidRPr="000D5D70" w:rsidRDefault="00B91B8D">
      <w:pPr>
        <w:spacing w:after="200"/>
        <w:rPr>
          <w:lang w:val="sq-AL"/>
        </w:rPr>
      </w:pPr>
    </w:p>
    <w:p w14:paraId="65B70577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4.  Financat vendore</w:t>
      </w:r>
    </w:p>
    <w:p w14:paraId="3C1F86DB" w14:textId="10EE8164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Financimi i pushtetit vendor u trajtua si variabla kritike dhe si faktor kufizues i autonomisë reale, indipendentisht nga madhësia e bashkisë. Konsensusi ishte i gjerë: bashkitë janë të pafinancuara në raport me funksionet e tyre.</w:t>
      </w:r>
    </w:p>
    <w:p w14:paraId="347BE9FB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4.1  Transferta qendrore: niveli dhe formula</w:t>
      </w:r>
    </w:p>
    <w:p w14:paraId="090E21DB" w14:textId="77777777" w:rsidR="00A57896" w:rsidRPr="000D5D70" w:rsidRDefault="00A57896">
      <w:pPr>
        <w:spacing w:after="80"/>
        <w:rPr>
          <w:lang w:val="sq-AL"/>
        </w:rPr>
      </w:pPr>
    </w:p>
    <w:p w14:paraId="002E116F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Problematika kryesore e evidentuar:</w:t>
      </w:r>
    </w:p>
    <w:p w14:paraId="025F8D12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Transferta e pakkushtëzuar qendrore është rreth 1% e PBB-së – e pamjaftueshme sipas standardit europian. Mesatarja e BE-së është 12–14% e PBB-së (sipas një citimi nga takimi); u propozua si standard minimal 5–10% i PBB-së.</w:t>
      </w:r>
    </w:p>
    <w:p w14:paraId="26B3926E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Formula aktuale e granteve (bazuar kryesisht mbi numrin e popullsisë dhe numrin e shkollave) nuk reflekton faktorë thelbësorë si: sipërfaqja territoriale, infrastruktura rrugore (bashkia Mirëditë menaxhon 700 km rrugë), densia e popullsisë, kostoja e ofrimit të shërbimeve në terren malor.</w:t>
      </w:r>
    </w:p>
    <w:p w14:paraId="5205523A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Bashkitë me karakter sezonal (turistike) nuk marrin financim proporcional me ngarkesën reale të shërbimeve gjatë sezonit.</w:t>
      </w:r>
    </w:p>
    <w:p w14:paraId="31305194" w14:textId="28E68F6E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Bashkitë e djathta u cituan si të favorizuara diferenciale në transferta diskrecionale qeveritare</w:t>
      </w:r>
      <w:r w:rsidR="00A57896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e kontestuar ky pretendim nga palët e tjera.</w:t>
      </w:r>
    </w:p>
    <w:p w14:paraId="25B6561C" w14:textId="77777777" w:rsidR="00B91B8D" w:rsidRDefault="00B91B8D">
      <w:pPr>
        <w:spacing w:after="160"/>
        <w:rPr>
          <w:lang w:val="sq-AL"/>
        </w:rPr>
      </w:pPr>
    </w:p>
    <w:p w14:paraId="235CF9A3" w14:textId="77777777" w:rsidR="00A57896" w:rsidRPr="000D5D70" w:rsidRDefault="00A57896">
      <w:pPr>
        <w:spacing w:after="160"/>
        <w:rPr>
          <w:lang w:val="sq-AL"/>
        </w:rPr>
      </w:pPr>
    </w:p>
    <w:p w14:paraId="5F12449D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4.2  Të ardhurat e veta dhe autonomia fiskale</w:t>
      </w:r>
    </w:p>
    <w:p w14:paraId="5ADF3012" w14:textId="77777777" w:rsidR="00B91B8D" w:rsidRPr="000D5D70" w:rsidRDefault="00B91B8D">
      <w:pPr>
        <w:spacing w:after="80"/>
        <w:rPr>
          <w:lang w:val="sq-AL"/>
        </w:rPr>
      </w:pPr>
    </w:p>
    <w:p w14:paraId="3F44181A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U analizua edhe kapaciteti i bashkive për vetëfinancim:</w:t>
      </w:r>
    </w:p>
    <w:p w14:paraId="325D7710" w14:textId="6B405FAB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Bashkia Lezhë u prezantua si rast relativisht i suksesshëm: ka diversifikuar të ardhurat, ka eliminuar borxhin (nga 6,8 miliardë lekë në zero), dhe ka rritur investimet kapitale si % të buxhetit total.</w:t>
      </w:r>
    </w:p>
    <w:p w14:paraId="46AD5D94" w14:textId="301927FC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lastRenderedPageBreak/>
        <w:t>Bashkia Mirëditë shpenzon 70% të buxhetit për paga – raport ky që redukton investimet praktikisht në zero. Rasti Kurbin është i ngjashëm (rreth 64% për paga sipas statistikave të INSTAT).</w:t>
      </w:r>
    </w:p>
    <w:p w14:paraId="03EBDC86" w14:textId="509E6E46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U identifikua problem specifik: TVSH-ja 20% zbatohet edhe mbi kontratat e prokurimeve bashkiake, duke transferuar de facto 1/5 e çdo investimi vendor drejt arkës shtetërore u propozua heqja e kësaj taksë ndaj bashkive si masë urgjente.</w:t>
      </w:r>
    </w:p>
    <w:p w14:paraId="0A77A76C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Bashki të caktuara, si Mirëdita, kërkuan drejtpërdrejtë shpërndarje të rentave minerare dhe të burimeve ujore: edhe 3–5% e rentës minerare drejtpërdrejtë bashkisë do të ndryshonte strukturisht buxhetin e saj.</w:t>
      </w:r>
    </w:p>
    <w:p w14:paraId="2B5E8A31" w14:textId="77777777" w:rsidR="00B91B8D" w:rsidRPr="000D5D70" w:rsidRDefault="00B91B8D">
      <w:pPr>
        <w:spacing w:after="160"/>
        <w:rPr>
          <w:lang w:val="sq-AL"/>
        </w:rPr>
      </w:pPr>
    </w:p>
    <w:p w14:paraId="64E836DE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4.3  Borxhi, investimet dhe performanca financiare</w:t>
      </w:r>
    </w:p>
    <w:p w14:paraId="3B8DBDE9" w14:textId="77777777" w:rsidR="00B91B8D" w:rsidRPr="000D5D70" w:rsidRDefault="00B91B8D">
      <w:pPr>
        <w:spacing w:after="80"/>
        <w:rPr>
          <w:lang w:val="sq-AL"/>
        </w:rPr>
      </w:pPr>
    </w:p>
    <w:p w14:paraId="47BB76A0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Debati mbi suksesin ose dështimin e reformës u zhvillua edhe mbi bazë të shifrave financiare:</w:t>
      </w:r>
    </w:p>
    <w:p w14:paraId="7DC2AFF0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Kryetari i Bashkisë Lezhë prezantoi tregues pozitivë: rritja e buxhetit nga 8,3 miliardë (para reformës) në 25,5 miliardë lekë; reduktimi i borxhit bashkiak nga 6,8 miliardë në zero; 60% e investimeve të drejtuara drejt zonave rurale.</w:t>
      </w:r>
    </w:p>
    <w:p w14:paraId="30E485E5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Kritikët e reformës kundërvunë tregues negativë: rritja e numrit të punonjësve administrativë nga ~22.000 në ~40.000 (kundër premtimit të reformës); dhe se borxhet e trashëguara ishin kryesisht nga ish-komunat, jo nga bashkitë e mëdha.</w:t>
      </w:r>
    </w:p>
    <w:p w14:paraId="4F8F17D2" w14:textId="69E7E2B8" w:rsidR="00B91B8D" w:rsidRPr="00A57896" w:rsidRDefault="00000000" w:rsidP="00CD0155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 xml:space="preserve">Raport </w:t>
      </w:r>
      <w:r w:rsidR="00A57896">
        <w:rPr>
          <w:color w:val="1A1A1A"/>
          <w:lang w:val="sq-AL"/>
        </w:rPr>
        <w:t>paga</w:t>
      </w:r>
      <w:r w:rsidRPr="000D5D70">
        <w:rPr>
          <w:color w:val="1A1A1A"/>
          <w:lang w:val="sq-AL"/>
        </w:rPr>
        <w:t>/investime u evidentua si indikator kyç i shëndetit financiar bashkiak – bashki që shpenzojnë mbi 60–70% të buxhetit për paga s'kanë kapacitet real investimi.</w:t>
      </w:r>
    </w:p>
    <w:p w14:paraId="3F91AD47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4.4  Rajonet si nivel i ndërmjetëm financiar dhe zhvillimor</w:t>
      </w:r>
    </w:p>
    <w:p w14:paraId="52B15C67" w14:textId="77777777" w:rsidR="00B91B8D" w:rsidRPr="000D5D70" w:rsidRDefault="00B91B8D">
      <w:pPr>
        <w:spacing w:after="80"/>
        <w:rPr>
          <w:lang w:val="sq-AL"/>
        </w:rPr>
      </w:pPr>
    </w:p>
    <w:p w14:paraId="7932AC90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Disa kontribuues propozuan rikonceptimin e nivelit rajonal/qark si aktor financiar dhe zhvillimor, jo thjesht administrativ:</w:t>
      </w:r>
    </w:p>
    <w:p w14:paraId="281305A7" w14:textId="4AA8EF48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Rajonet me kompetenca dhe fonde të veta do të mund të absorb</w:t>
      </w:r>
      <w:r w:rsidR="00143913">
        <w:rPr>
          <w:color w:val="1A1A1A"/>
          <w:lang w:val="sq-AL"/>
        </w:rPr>
        <w:t>ojn</w:t>
      </w:r>
      <w:r w:rsidR="00143913" w:rsidRPr="000D5D70">
        <w:rPr>
          <w:color w:val="1A1A1A"/>
          <w:lang w:val="sq-AL"/>
        </w:rPr>
        <w:t>ë</w:t>
      </w:r>
      <w:r w:rsidRPr="000D5D70">
        <w:rPr>
          <w:color w:val="1A1A1A"/>
          <w:lang w:val="sq-AL"/>
        </w:rPr>
        <w:t xml:space="preserve"> fondet e kohezionit të BE-së dhe t'i </w:t>
      </w:r>
      <w:r w:rsidR="00143913">
        <w:rPr>
          <w:color w:val="1A1A1A"/>
          <w:lang w:val="sq-AL"/>
        </w:rPr>
        <w:t>ri</w:t>
      </w:r>
      <w:r w:rsidRPr="000D5D70">
        <w:rPr>
          <w:color w:val="1A1A1A"/>
          <w:lang w:val="sq-AL"/>
        </w:rPr>
        <w:t>shpërnda</w:t>
      </w:r>
      <w:r w:rsidR="00143913">
        <w:rPr>
          <w:color w:val="1A1A1A"/>
          <w:lang w:val="sq-AL"/>
        </w:rPr>
        <w:t>j</w:t>
      </w:r>
      <w:r w:rsidRPr="000D5D70">
        <w:rPr>
          <w:color w:val="1A1A1A"/>
          <w:lang w:val="sq-AL"/>
        </w:rPr>
        <w:t xml:space="preserve"> drejt bashkive duke shmangur ndërhyrjen </w:t>
      </w:r>
      <w:r w:rsidR="00143913">
        <w:rPr>
          <w:color w:val="1A1A1A"/>
          <w:lang w:val="sq-AL"/>
        </w:rPr>
        <w:t xml:space="preserve">e institucioneve </w:t>
      </w:r>
      <w:r w:rsidRPr="000D5D70">
        <w:rPr>
          <w:color w:val="1A1A1A"/>
          <w:lang w:val="sq-AL"/>
        </w:rPr>
        <w:t>qe</w:t>
      </w:r>
      <w:r w:rsidR="00143913">
        <w:rPr>
          <w:color w:val="1A1A1A"/>
          <w:lang w:val="sq-AL"/>
        </w:rPr>
        <w:t>ndrore</w:t>
      </w:r>
      <w:r w:rsidRPr="000D5D70">
        <w:rPr>
          <w:color w:val="1A1A1A"/>
          <w:lang w:val="sq-AL"/>
        </w:rPr>
        <w:t>.</w:t>
      </w:r>
    </w:p>
    <w:p w14:paraId="7CCC9C86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Modelet europiane (Rumani, Kroaci pas hyrjes në BE) tregojnë se rajonet e forta janë hallka kryesore e menaxhimit të fondeve strukturore.</w:t>
      </w:r>
    </w:p>
    <w:p w14:paraId="0FB331E7" w14:textId="7FF196CA" w:rsidR="00A57896" w:rsidRPr="000D5D70" w:rsidRDefault="00000000" w:rsidP="00CD0155">
      <w:pPr>
        <w:pStyle w:val="ListParagraph"/>
        <w:spacing w:before="60" w:after="60"/>
        <w:ind w:left="560"/>
        <w:rPr>
          <w:lang w:val="sq-AL"/>
        </w:rPr>
      </w:pPr>
      <w:r w:rsidRPr="000D5D70">
        <w:rPr>
          <w:color w:val="1A1A1A"/>
          <w:lang w:val="sq-AL"/>
        </w:rPr>
        <w:t>U argumentua se ekziston pabarazia zhvillimore ndërbashkike reale që nuk trajtohet dot vetëm me mekanizma ndërbashkiakë – kërkon nivel rajonal me kompetenca shpërndarjeje.</w:t>
      </w:r>
    </w:p>
    <w:p w14:paraId="441D976A" w14:textId="77777777" w:rsidR="00A57896" w:rsidRPr="00A57896" w:rsidRDefault="00A57896" w:rsidP="00CD0155">
      <w:pPr>
        <w:pStyle w:val="ListParagraph"/>
        <w:spacing w:before="60" w:after="60"/>
        <w:ind w:left="560"/>
        <w:rPr>
          <w:lang w:val="sq-AL"/>
        </w:rPr>
      </w:pPr>
    </w:p>
    <w:p w14:paraId="7B8E4A1A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5.  Divergjenca e qëndrimit: zyrtarë në funksion dhe qytetarë/shoqëri civile</w:t>
      </w:r>
    </w:p>
    <w:p w14:paraId="1CBDCC4C" w14:textId="77777777" w:rsidR="00B91B8D" w:rsidRPr="000D5D70" w:rsidRDefault="00B91B8D">
      <w:pPr>
        <w:spacing w:after="100"/>
        <w:rPr>
          <w:lang w:val="sq-AL"/>
        </w:rPr>
      </w:pPr>
    </w:p>
    <w:p w14:paraId="38533509" w14:textId="7232BD70" w:rsidR="00B91B8D" w:rsidRPr="000D5D70" w:rsidRDefault="00A57896">
      <w:pPr>
        <w:spacing w:before="80" w:after="80"/>
        <w:jc w:val="both"/>
        <w:rPr>
          <w:lang w:val="sq-AL"/>
        </w:rPr>
      </w:pPr>
      <w:r>
        <w:rPr>
          <w:color w:val="1A1A1A"/>
          <w:lang w:val="sq-AL"/>
        </w:rPr>
        <w:t>U evidentua</w:t>
      </w:r>
      <w:r w:rsidRPr="000D5D70">
        <w:rPr>
          <w:color w:val="1A1A1A"/>
          <w:lang w:val="sq-AL"/>
        </w:rPr>
        <w:t xml:space="preserve"> një ndarje konsistente mes dy grupeve të kryesore kontribuuesish, e cila meriton vëmendje të posaçme në hartimin e rekomandimeve të reformës:</w:t>
      </w:r>
    </w:p>
    <w:p w14:paraId="6B26614D" w14:textId="77777777" w:rsidR="00B91B8D" w:rsidRPr="000D5D70" w:rsidRDefault="00B91B8D">
      <w:pPr>
        <w:spacing w:after="120"/>
        <w:rPr>
          <w:lang w:val="sq-AL"/>
        </w:rPr>
      </w:pPr>
    </w:p>
    <w:p w14:paraId="3A6FA84E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5.1  Profili i qëndrimit të zyrtarëve aktualë në detyrë</w:t>
      </w:r>
    </w:p>
    <w:p w14:paraId="68989060" w14:textId="77777777" w:rsidR="00B91B8D" w:rsidRPr="000D5D70" w:rsidRDefault="00B91B8D">
      <w:pPr>
        <w:spacing w:after="80"/>
        <w:rPr>
          <w:lang w:val="sq-AL"/>
        </w:rPr>
      </w:pPr>
    </w:p>
    <w:p w14:paraId="3FE79D20" w14:textId="0274D090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Kryetarët e bashkive dhe këshilltarët aktualisht të zgjedhur</w:t>
      </w:r>
      <w:r w:rsidR="00A57896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pavarësisht ngjyrimit politik</w:t>
      </w:r>
      <w:r w:rsidR="00A57896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ndanin disa karakteristika të përbashkëta:</w:t>
      </w:r>
    </w:p>
    <w:p w14:paraId="33839DD5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lastRenderedPageBreak/>
        <w:t>Mbrojtje e treguesve pozitivë konkretë të reformës (investimet, reduktimi i borxhit, shërbimet online, infrastruktura e re).</w:t>
      </w:r>
    </w:p>
    <w:p w14:paraId="5B4AB99C" w14:textId="5671D6AA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Fokusim kryesor tek reforma e kompetencave dhe e financimit, jo tek ndryshimi i kufijve</w:t>
      </w:r>
      <w:r w:rsidR="00A57896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me argumentin se nuk ka burime njerëzore për bashki shtesë.</w:t>
      </w:r>
    </w:p>
    <w:p w14:paraId="5CBF8F94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Tendencë për të shmangur etiketimet e reformës si "dështim", duke e kualifikuar situatën si "me probleme që duhen rregulluar".</w:t>
      </w:r>
    </w:p>
    <w:p w14:paraId="3BF40EE9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Apel për stabilitet institucional dhe refuzim ndaj "copëzimit" të bashkive.</w:t>
      </w:r>
    </w:p>
    <w:p w14:paraId="1CECDAF0" w14:textId="77777777" w:rsidR="00B91B8D" w:rsidRPr="000D5D70" w:rsidRDefault="00B91B8D">
      <w:pPr>
        <w:spacing w:after="80"/>
        <w:rPr>
          <w:lang w:val="sq-AL"/>
        </w:rPr>
      </w:pPr>
    </w:p>
    <w:p w14:paraId="6D441F93" w14:textId="684513FF" w:rsidR="00B91B8D" w:rsidRPr="000D5D70" w:rsidRDefault="00000000" w:rsidP="00CD0155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Megjithatë, edhe zyrtarët aktualisht pranuan probleme serioze dhe konkrete: centralizimin e ujësjellësit, kufizimet e lejeve të ndërtimit, pamjaftueshmërinë e financimit, dhe ndërhyrjet e qeverisë qendrore mbi kompetenca ekskluzive vendore. Kryetari i Bashkisë Lezhë ishte ndër më kritikët mbi çështjen e kompetencave, duke e pranuar publikisht që ka "tendencë" shtetërore drejt recentralizimit.</w:t>
      </w:r>
    </w:p>
    <w:p w14:paraId="697C413D" w14:textId="77777777" w:rsidR="00B91B8D" w:rsidRPr="000D5D70" w:rsidRDefault="00000000">
      <w:pPr>
        <w:pStyle w:val="Heading2"/>
        <w:pBdr>
          <w:bottom w:val="single" w:sz="4" w:space="4" w:color="2E5090"/>
        </w:pBdr>
        <w:rPr>
          <w:lang w:val="sq-AL"/>
        </w:rPr>
      </w:pPr>
      <w:r w:rsidRPr="000D5D70">
        <w:rPr>
          <w:lang w:val="sq-AL"/>
        </w:rPr>
        <w:t>5.2  Profili i qëndrimit të qytetarëve, shoqërisë civile dhe ish-zyrtarëve</w:t>
      </w:r>
    </w:p>
    <w:p w14:paraId="5EDF9E4B" w14:textId="77777777" w:rsidR="00B91B8D" w:rsidRPr="000D5D70" w:rsidRDefault="00B91B8D">
      <w:pPr>
        <w:spacing w:after="80"/>
        <w:rPr>
          <w:lang w:val="sq-AL"/>
        </w:rPr>
      </w:pPr>
    </w:p>
    <w:p w14:paraId="43C89AFB" w14:textId="5FA6B703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Kontribuuesit pa funksion aktual</w:t>
      </w:r>
      <w:r w:rsidR="00143913">
        <w:rPr>
          <w:color w:val="1A1A1A"/>
          <w:lang w:val="sq-AL"/>
        </w:rPr>
        <w:t xml:space="preserve"> si</w:t>
      </w:r>
      <w:r w:rsidRPr="000D5D70">
        <w:rPr>
          <w:color w:val="1A1A1A"/>
          <w:lang w:val="sq-AL"/>
        </w:rPr>
        <w:t xml:space="preserve"> qytetarë, gazetarë, akademikë, aktivistë politikë dhe ish-zyrtarë  shfaqën qëndrime dukshëm më kritike:</w:t>
      </w:r>
    </w:p>
    <w:p w14:paraId="33C10B86" w14:textId="0BF67A2D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Kërkesë për reformë territoriale konkrete: rikthim te</w:t>
      </w:r>
      <w:r w:rsidR="00575B56">
        <w:rPr>
          <w:color w:val="1A1A1A"/>
          <w:lang w:val="sq-AL"/>
        </w:rPr>
        <w:t>k modeli i</w:t>
      </w:r>
      <w:r w:rsidRPr="000D5D70">
        <w:rPr>
          <w:color w:val="1A1A1A"/>
          <w:lang w:val="sq-AL"/>
        </w:rPr>
        <w:t xml:space="preserve"> rrethe</w:t>
      </w:r>
      <w:r w:rsidR="00575B56">
        <w:rPr>
          <w:color w:val="1A1A1A"/>
          <w:lang w:val="sq-AL"/>
        </w:rPr>
        <w:t>ve</w:t>
      </w:r>
      <w:r w:rsidRPr="000D5D70">
        <w:rPr>
          <w:color w:val="1A1A1A"/>
          <w:lang w:val="sq-AL"/>
        </w:rPr>
        <w:t xml:space="preserve"> , rritje e numrit të bashkive, trajtim të veçantë i zonave malore.</w:t>
      </w:r>
    </w:p>
    <w:p w14:paraId="0FE3DDF0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Evidencë e shërbimeve të humbura: mbyllja e shkollave fshatare, largësia e shërbimeve shëndetësore, përmbytjet pa kompensim, asistenca sociale e hequr.</w:t>
      </w:r>
    </w:p>
    <w:p w14:paraId="2A94A3BB" w14:textId="2B0B55AB" w:rsidR="00B91B8D" w:rsidRPr="000D5D70" w:rsidRDefault="00000000" w:rsidP="00CD0155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Thirrje për dëgjesa me qytetarë të zakonshëm, jo kryesisht me administratorë dhe politikanë.</w:t>
      </w:r>
    </w:p>
    <w:p w14:paraId="235A0684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t>6.  Pikat e konvergjencës</w:t>
      </w:r>
    </w:p>
    <w:p w14:paraId="7C6ADA0F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Pavarësisht divergjencave të theksuara, dëgjesa prodhoi pika të rëndësishme konvergjence ndër të gjithë aktorët:</w:t>
      </w:r>
    </w:p>
    <w:p w14:paraId="2A3C6178" w14:textId="77777777" w:rsidR="00B91B8D" w:rsidRPr="000D5D70" w:rsidRDefault="00B91B8D">
      <w:pPr>
        <w:spacing w:after="80"/>
        <w:rPr>
          <w:lang w:val="sq-AL"/>
        </w:rPr>
      </w:pPr>
    </w:p>
    <w:p w14:paraId="69740159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Reforma nuk duhet të kufizohet tek kufijtë administrative: ndryshimi territorial pa reformë të thellë kompetencash dhe financiare nuk do të sjellë rezultate.</w:t>
      </w:r>
    </w:p>
    <w:p w14:paraId="22649B7C" w14:textId="1F0D0BDD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 xml:space="preserve">Centralizimi i mëtejshëm duhet </w:t>
      </w:r>
      <w:r w:rsidR="00143913">
        <w:rPr>
          <w:color w:val="1A1A1A"/>
          <w:lang w:val="sq-AL"/>
        </w:rPr>
        <w:t>ndaluar</w:t>
      </w:r>
      <w:r w:rsidRPr="000D5D70">
        <w:rPr>
          <w:color w:val="1A1A1A"/>
          <w:lang w:val="sq-AL"/>
        </w:rPr>
        <w:t>: ka konsensus të gjerë se tendenca e qeverisë qendrore për të kapur kompetenca vendore (ujësjellësa, pyje, ndërtim, plazhe) duhet ndalur me mekanizma ligjorë dhe kushtetues.</w:t>
      </w:r>
    </w:p>
    <w:p w14:paraId="08ADA9F5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Autonomia financiare si parakusht: bashkitë nuk mund të ushtrojnë funksione pa burime financiare adekuate; 1% e PBB-së është e pamjaftueshme dhe formula e granteve duhet rishikuar.</w:t>
      </w:r>
    </w:p>
    <w:p w14:paraId="095DE18B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Standardizimi i shërbimeve bazë në gjithë territorin: e drejta për shërbim cilësor të barabartë (ujë, arsim, shëndetësi bazë) nuk duhet të varet nga bashkia ku banon qytetari.</w:t>
      </w:r>
    </w:p>
    <w:p w14:paraId="71A2342F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Procesi konsultativ duhet të vijojë: dëgjesat publike u vlerësuan si mekanizëm i domosdoshëm; u kërkua që konkluzionet të reflektojnë realitetin e komuniteteve, jo negociatat politike.</w:t>
      </w:r>
    </w:p>
    <w:p w14:paraId="76B8F318" w14:textId="77777777" w:rsidR="00B91B8D" w:rsidRPr="000D5D70" w:rsidRDefault="00000000">
      <w:pPr>
        <w:pStyle w:val="ListParagraph"/>
        <w:numPr>
          <w:ilvl w:val="0"/>
          <w:numId w:val="2"/>
        </w:numPr>
        <w:spacing w:before="60" w:after="60"/>
        <w:rPr>
          <w:lang w:val="sq-AL"/>
        </w:rPr>
      </w:pPr>
      <w:r w:rsidRPr="000D5D70">
        <w:rPr>
          <w:color w:val="1A1A1A"/>
          <w:lang w:val="sq-AL"/>
        </w:rPr>
        <w:t>Reforma si instrument zhvillimor: reformat e qeverisjes vendore duhet të shihen edhe si politikë zhvillimi rajonal – jo vetëm si ristrukturim administrativ.</w:t>
      </w:r>
    </w:p>
    <w:p w14:paraId="3052E205" w14:textId="77777777" w:rsidR="00B91B8D" w:rsidRDefault="00B91B8D">
      <w:pPr>
        <w:spacing w:after="200"/>
        <w:rPr>
          <w:lang w:val="sq-AL"/>
        </w:rPr>
      </w:pPr>
    </w:p>
    <w:p w14:paraId="37A87B2B" w14:textId="77777777" w:rsidR="00575B56" w:rsidRDefault="00575B56">
      <w:pPr>
        <w:spacing w:after="200"/>
        <w:rPr>
          <w:lang w:val="sq-AL"/>
        </w:rPr>
      </w:pPr>
    </w:p>
    <w:p w14:paraId="28B959C8" w14:textId="77777777" w:rsidR="00575B56" w:rsidRPr="000D5D70" w:rsidRDefault="00575B56">
      <w:pPr>
        <w:spacing w:after="200"/>
        <w:rPr>
          <w:lang w:val="sq-AL"/>
        </w:rPr>
      </w:pPr>
    </w:p>
    <w:p w14:paraId="76B5AEDB" w14:textId="77777777" w:rsidR="00B91B8D" w:rsidRPr="000D5D70" w:rsidRDefault="00000000">
      <w:pPr>
        <w:pStyle w:val="Heading1"/>
        <w:shd w:val="clear" w:color="auto" w:fill="1F3864"/>
        <w:ind w:left="200" w:right="200"/>
        <w:rPr>
          <w:lang w:val="sq-AL"/>
        </w:rPr>
      </w:pPr>
      <w:r w:rsidRPr="000D5D70">
        <w:rPr>
          <w:lang w:val="sq-AL"/>
        </w:rPr>
        <w:lastRenderedPageBreak/>
        <w:t>7.  Mesazhet kryesore të dëgjesës</w:t>
      </w:r>
    </w:p>
    <w:p w14:paraId="33020DFB" w14:textId="77777777" w:rsidR="00B91B8D" w:rsidRPr="000D5D70" w:rsidRDefault="00B91B8D">
      <w:pPr>
        <w:spacing w:after="100"/>
        <w:rPr>
          <w:lang w:val="sq-AL"/>
        </w:rPr>
      </w:pPr>
    </w:p>
    <w:p w14:paraId="70DF2AED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Dëgjesa nxori disa mesazhe kyçe me rëndësi diagnostike dhe programore:</w:t>
      </w:r>
    </w:p>
    <w:p w14:paraId="3C7EB0A5" w14:textId="77777777" w:rsidR="00B91B8D" w:rsidRPr="000D5D70" w:rsidRDefault="00B91B8D">
      <w:pPr>
        <w:spacing w:after="80"/>
        <w:rPr>
          <w:lang w:val="sq-AL"/>
        </w:rPr>
      </w:pPr>
    </w:p>
    <w:p w14:paraId="634B8F2B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M1 – Territori është simptomë, jo diagnozë</w:t>
      </w:r>
    </w:p>
    <w:p w14:paraId="64C04DAB" w14:textId="6E3CFA30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Shumica e problemeve të cituara</w:t>
      </w:r>
      <w:r w:rsidR="00AC352E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 xml:space="preserve">shpërndarje e pabarabartë shërbimesh, </w:t>
      </w:r>
      <w:r w:rsidR="00151AA6">
        <w:rPr>
          <w:color w:val="1A1A1A"/>
          <w:lang w:val="sq-AL"/>
        </w:rPr>
        <w:t>levizje popullsis</w:t>
      </w:r>
      <w:r w:rsidR="00151AA6" w:rsidRPr="000D5D70">
        <w:rPr>
          <w:color w:val="1A1A1A"/>
          <w:lang w:val="sq-AL"/>
        </w:rPr>
        <w:t>ë</w:t>
      </w:r>
      <w:r w:rsidRPr="000D5D70">
        <w:rPr>
          <w:color w:val="1A1A1A"/>
          <w:lang w:val="sq-AL"/>
        </w:rPr>
        <w:t>, investime të pamjaftueshme</w:t>
      </w:r>
      <w:r w:rsidR="00AC352E">
        <w:rPr>
          <w:color w:val="1A1A1A"/>
          <w:lang w:val="sq-AL"/>
        </w:rPr>
        <w:t xml:space="preserve">, </w:t>
      </w:r>
      <w:r w:rsidRPr="000D5D70">
        <w:rPr>
          <w:color w:val="1A1A1A"/>
          <w:lang w:val="sq-AL"/>
        </w:rPr>
        <w:t>nuk janë të shkaktuara mekanikisht nga madhësia e bashkisë, por nga mungesa e kompetencave dhe financimeve adekuate. Ndryshimi territorial pa reforma paralele strukturore rrezikon ta riprodhojë problemin nën një tjetër hartë.</w:t>
      </w:r>
    </w:p>
    <w:p w14:paraId="40708C49" w14:textId="345705BD" w:rsidR="00B91B8D" w:rsidRPr="000D5D70" w:rsidRDefault="00151AA6">
      <w:pPr>
        <w:spacing w:after="80"/>
        <w:rPr>
          <w:lang w:val="sq-AL"/>
        </w:rPr>
      </w:pPr>
      <w:r>
        <w:rPr>
          <w:lang w:val="sq-AL"/>
        </w:rPr>
        <w:t xml:space="preserve"> </w:t>
      </w:r>
    </w:p>
    <w:p w14:paraId="38C2AD54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M2 – Autonomia reale kundrejt asaj formale</w:t>
      </w:r>
    </w:p>
    <w:p w14:paraId="1F803D12" w14:textId="018917A5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Ekziston hendek i konsiderueshëm mes autonomisë vendore të garantuar me ligj dhe asaj të ushtruar në praktikë. R</w:t>
      </w:r>
      <w:r w:rsidR="00151AA6">
        <w:rPr>
          <w:color w:val="1A1A1A"/>
          <w:lang w:val="sq-AL"/>
        </w:rPr>
        <w:t>ic</w:t>
      </w:r>
      <w:r w:rsidRPr="000D5D70">
        <w:rPr>
          <w:color w:val="1A1A1A"/>
          <w:lang w:val="sq-AL"/>
        </w:rPr>
        <w:t>entralizimi</w:t>
      </w:r>
      <w:r w:rsidR="00151AA6">
        <w:rPr>
          <w:color w:val="1A1A1A"/>
          <w:lang w:val="sq-AL"/>
        </w:rPr>
        <w:t xml:space="preserve"> ne disa funksione</w:t>
      </w:r>
      <w:r w:rsidRPr="000D5D70">
        <w:rPr>
          <w:color w:val="1A1A1A"/>
          <w:lang w:val="sq-AL"/>
        </w:rPr>
        <w:t xml:space="preserve"> nëpërmjet VKM-ve, ligjeve sektoriale dhe kontrollit mbi kompanitë e shërbimeve publike ka tkurrur hapësirën e lëvizjes vendore. Reforma duhet ta adresojë këtë hendek.</w:t>
      </w:r>
    </w:p>
    <w:p w14:paraId="15B38EF1" w14:textId="77777777" w:rsidR="00B91B8D" w:rsidRPr="000D5D70" w:rsidRDefault="00B91B8D">
      <w:pPr>
        <w:spacing w:after="80"/>
        <w:rPr>
          <w:lang w:val="sq-AL"/>
        </w:rPr>
      </w:pPr>
    </w:p>
    <w:p w14:paraId="247F7E42" w14:textId="77777777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M3 – Pabarazia ndërbashkike si rrezik kohezioni</w:t>
      </w:r>
    </w:p>
    <w:p w14:paraId="4A1B6120" w14:textId="77777777" w:rsidR="00B91B8D" w:rsidRPr="000D5D70" w:rsidRDefault="00000000">
      <w:pPr>
        <w:spacing w:before="80" w:after="80"/>
        <w:jc w:val="both"/>
        <w:rPr>
          <w:lang w:val="sq-AL"/>
        </w:rPr>
      </w:pPr>
      <w:r w:rsidRPr="000D5D70">
        <w:rPr>
          <w:color w:val="1A1A1A"/>
          <w:lang w:val="sq-AL"/>
        </w:rPr>
        <w:t>Diferencat e thella midis bashkive (buxhetore, kapaciteti njerëzor, infrastrukturore) rrezikojnë të thellohen nëse reforma nuk shoqërohet me mekanizma shpërndarjeje të drejtë. Kjo pabarazi është edhe gjeografike (urbane vs. malore/periferike) edhe politike (administrative vs. sektoriale).</w:t>
      </w:r>
    </w:p>
    <w:p w14:paraId="1769D67A" w14:textId="77777777" w:rsidR="00B91B8D" w:rsidRPr="000D5D70" w:rsidRDefault="00B91B8D">
      <w:pPr>
        <w:spacing w:after="80"/>
        <w:rPr>
          <w:lang w:val="sq-AL"/>
        </w:rPr>
      </w:pPr>
    </w:p>
    <w:p w14:paraId="5255D598" w14:textId="0160E2EB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 xml:space="preserve">M4 – </w:t>
      </w:r>
      <w:r w:rsidR="00CD0155">
        <w:rPr>
          <w:lang w:val="sq-AL"/>
        </w:rPr>
        <w:t>Levizjet demografike</w:t>
      </w:r>
      <w:r w:rsidR="00CD0155" w:rsidRPr="000D5D70">
        <w:rPr>
          <w:lang w:val="sq-AL"/>
        </w:rPr>
        <w:t xml:space="preserve"> </w:t>
      </w:r>
      <w:r w:rsidRPr="000D5D70">
        <w:rPr>
          <w:lang w:val="sq-AL"/>
        </w:rPr>
        <w:t>kërko</w:t>
      </w:r>
      <w:r w:rsidR="00CD0155">
        <w:rPr>
          <w:lang w:val="sq-AL"/>
        </w:rPr>
        <w:t>j</w:t>
      </w:r>
      <w:r w:rsidRPr="000D5D70">
        <w:rPr>
          <w:lang w:val="sq-AL"/>
        </w:rPr>
        <w:t>n</w:t>
      </w:r>
      <w:r w:rsidR="00CD0155" w:rsidRPr="000D5D70">
        <w:rPr>
          <w:lang w:val="sq-AL"/>
        </w:rPr>
        <w:t>ë</w:t>
      </w:r>
      <w:r w:rsidRPr="000D5D70">
        <w:rPr>
          <w:lang w:val="sq-AL"/>
        </w:rPr>
        <w:t xml:space="preserve"> qasje multidimensionale</w:t>
      </w:r>
      <w:r w:rsidR="00CD0155">
        <w:rPr>
          <w:lang w:val="sq-AL"/>
        </w:rPr>
        <w:t xml:space="preserve"> </w:t>
      </w:r>
    </w:p>
    <w:p w14:paraId="41F008CD" w14:textId="035CBA1C" w:rsidR="00B91B8D" w:rsidRPr="000D5D70" w:rsidRDefault="00CD0155">
      <w:pPr>
        <w:spacing w:before="80" w:after="80"/>
        <w:jc w:val="both"/>
        <w:rPr>
          <w:lang w:val="sq-AL"/>
        </w:rPr>
      </w:pPr>
      <w:r>
        <w:rPr>
          <w:color w:val="1A1A1A"/>
          <w:lang w:val="sq-AL"/>
        </w:rPr>
        <w:t>L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>vizjet e forta t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popullis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nga zonat rurale drejt atyre urbane apo edhe drejt emigrimit</w:t>
      </w:r>
      <w:r w:rsidRPr="000D5D70">
        <w:rPr>
          <w:color w:val="1A1A1A"/>
          <w:lang w:val="sq-AL"/>
        </w:rPr>
        <w:t xml:space="preserve"> sidomos në Mirëditë dhe zona malore të qarkut nuk reduktohet vetëm tek reforma territoriale. Kërkon politika zhvillimore sektoriale (bujqësia, turizmi, infrastruktura, arsimi) të kombinuara me reformën e qeverisjes. Reforma territoriale është kusht i nevojshëm, por jo i mjaftueshëm.</w:t>
      </w:r>
    </w:p>
    <w:p w14:paraId="308E7F7C" w14:textId="77777777" w:rsidR="00B91B8D" w:rsidRPr="000D5D70" w:rsidRDefault="00B91B8D">
      <w:pPr>
        <w:spacing w:after="80"/>
        <w:rPr>
          <w:lang w:val="sq-AL"/>
        </w:rPr>
      </w:pPr>
    </w:p>
    <w:p w14:paraId="65BD77CF" w14:textId="045029A4" w:rsidR="00B91B8D" w:rsidRPr="000D5D70" w:rsidRDefault="00000000">
      <w:pPr>
        <w:pStyle w:val="Heading3"/>
        <w:rPr>
          <w:lang w:val="sq-AL"/>
        </w:rPr>
      </w:pPr>
      <w:r w:rsidRPr="000D5D70">
        <w:rPr>
          <w:lang w:val="sq-AL"/>
        </w:rPr>
        <w:t>M5 – Konsens</w:t>
      </w:r>
      <w:r w:rsidR="00143913">
        <w:rPr>
          <w:lang w:val="sq-AL"/>
        </w:rPr>
        <w:t>usi</w:t>
      </w:r>
      <w:r w:rsidRPr="000D5D70">
        <w:rPr>
          <w:lang w:val="sq-AL"/>
        </w:rPr>
        <w:t xml:space="preserve"> si parakusht i suksesit</w:t>
      </w:r>
    </w:p>
    <w:p w14:paraId="19C2340D" w14:textId="15D4D78A" w:rsidR="00B91B8D" w:rsidRDefault="00B33C49" w:rsidP="00B33C49">
      <w:pPr>
        <w:spacing w:before="80" w:after="80"/>
        <w:jc w:val="both"/>
        <w:rPr>
          <w:color w:val="1A1A1A"/>
          <w:lang w:val="sq-AL"/>
        </w:rPr>
      </w:pPr>
      <w:r>
        <w:rPr>
          <w:color w:val="1A1A1A"/>
          <w:lang w:val="sq-AL"/>
        </w:rPr>
        <w:t>R</w:t>
      </w:r>
      <w:r w:rsidRPr="000D5D70">
        <w:rPr>
          <w:color w:val="1A1A1A"/>
          <w:lang w:val="sq-AL"/>
        </w:rPr>
        <w:t xml:space="preserve">eformat e qeverisjes vendore </w:t>
      </w:r>
      <w:r>
        <w:rPr>
          <w:color w:val="1A1A1A"/>
          <w:lang w:val="sq-AL"/>
        </w:rPr>
        <w:t>forcohen n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m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>nyr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t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drejtperdrejt</w:t>
      </w:r>
      <w:r w:rsidRPr="000D5D70">
        <w:rPr>
          <w:color w:val="1A1A1A"/>
          <w:lang w:val="sq-AL"/>
        </w:rPr>
        <w:t>ë</w:t>
      </w:r>
      <w:r>
        <w:rPr>
          <w:color w:val="1A1A1A"/>
          <w:lang w:val="sq-AL"/>
        </w:rPr>
        <w:t xml:space="preserve"> me</w:t>
      </w:r>
      <w:r w:rsidRPr="000D5D70">
        <w:rPr>
          <w:color w:val="1A1A1A"/>
          <w:lang w:val="sq-AL"/>
        </w:rPr>
        <w:t xml:space="preserve"> konsensusin e forcave politike dhe pa mbështetjen qytetare kthehen në leva polarizimi. Procesi konsultativ aktual, nëse çon në konkluzione serioze dhe të balancuara, mund të ndryshojë dinamikën politike dhe ta bëjë reformën e qëndrueshme.</w:t>
      </w:r>
      <w:r>
        <w:rPr>
          <w:color w:val="1A1A1A"/>
          <w:lang w:val="sq-AL"/>
        </w:rPr>
        <w:t xml:space="preserve"> </w:t>
      </w:r>
    </w:p>
    <w:p w14:paraId="667CEA50" w14:textId="77777777" w:rsidR="00151AA6" w:rsidRDefault="00151AA6" w:rsidP="00B33C49">
      <w:pPr>
        <w:spacing w:before="80" w:after="80"/>
        <w:jc w:val="both"/>
        <w:rPr>
          <w:color w:val="1A1A1A"/>
          <w:lang w:val="sq-AL"/>
        </w:rPr>
      </w:pPr>
    </w:p>
    <w:p w14:paraId="6D4217D5" w14:textId="77777777" w:rsidR="00151AA6" w:rsidRPr="000D5D70" w:rsidRDefault="00151AA6" w:rsidP="00B33C49">
      <w:pPr>
        <w:spacing w:before="80" w:after="80"/>
        <w:jc w:val="both"/>
        <w:rPr>
          <w:lang w:val="sq-AL"/>
        </w:rPr>
      </w:pPr>
    </w:p>
    <w:p w14:paraId="4A53A028" w14:textId="77777777" w:rsidR="00B91B8D" w:rsidRPr="000D5D70" w:rsidRDefault="00000000">
      <w:pPr>
        <w:pBdr>
          <w:top w:val="single" w:sz="4" w:space="0" w:color="BBBBBB"/>
        </w:pBdr>
        <w:spacing w:before="200" w:after="80"/>
        <w:rPr>
          <w:lang w:val="sq-AL"/>
        </w:rPr>
      </w:pPr>
      <w:r w:rsidRPr="000D5D70">
        <w:rPr>
          <w:b/>
          <w:bCs/>
          <w:color w:val="666666"/>
          <w:sz w:val="20"/>
          <w:szCs w:val="20"/>
          <w:lang w:val="sq-AL"/>
        </w:rPr>
        <w:t>Shënim metodologjik</w:t>
      </w:r>
    </w:p>
    <w:p w14:paraId="0533E950" w14:textId="73A99C3B" w:rsidR="00B91B8D" w:rsidRPr="000D5D70" w:rsidRDefault="00000000">
      <w:pPr>
        <w:jc w:val="both"/>
        <w:rPr>
          <w:lang w:val="sq-AL"/>
        </w:rPr>
      </w:pPr>
      <w:r w:rsidRPr="000D5D70">
        <w:rPr>
          <w:color w:val="666666"/>
          <w:sz w:val="18"/>
          <w:szCs w:val="18"/>
          <w:lang w:val="sq-AL"/>
        </w:rPr>
        <w:t>Ky dokument është hartuar mbi bazën e tran</w:t>
      </w:r>
      <w:r w:rsidR="00151AA6">
        <w:rPr>
          <w:color w:val="666666"/>
          <w:sz w:val="18"/>
          <w:szCs w:val="18"/>
          <w:lang w:val="sq-AL"/>
        </w:rPr>
        <w:t>s</w:t>
      </w:r>
      <w:r w:rsidRPr="000D5D70">
        <w:rPr>
          <w:color w:val="666666"/>
          <w:sz w:val="18"/>
          <w:szCs w:val="18"/>
          <w:lang w:val="sq-AL"/>
        </w:rPr>
        <w:t>skriptit të plotë të dëgjesës publike dhe përfaqëson të gjitha zërat e shprehura, duke ruajtur balancimin ndërmjet qasjeve divergjente. Ai nuk shpreh qëndrimin zyrtar të Komisionit, por dokumenton diversitetin e opinioneve të shprehura gjatë sesionit. Dëgjesa u moderua nga Valbona Karakaci, Këshilltare Strategjike pranë projektit Bashkitë Forta, dhe u regjistrua në tërësi. Transkripti i plotë dhe ky raport do të bëhen publike në faqen e reformës.</w:t>
      </w:r>
      <w:r w:rsidR="00151AA6">
        <w:rPr>
          <w:color w:val="666666"/>
          <w:sz w:val="18"/>
          <w:szCs w:val="18"/>
          <w:lang w:val="sq-AL"/>
        </w:rPr>
        <w:t xml:space="preserve"> </w:t>
      </w:r>
    </w:p>
    <w:sectPr w:rsidR="00B91B8D" w:rsidRPr="000D5D70">
      <w:headerReference w:type="default" r:id="rId7"/>
      <w:footerReference w:type="default" r:id="rId8"/>
      <w:pgSz w:w="11906" w:h="16838"/>
      <w:pgMar w:top="120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26874" w14:textId="77777777" w:rsidR="00E256B0" w:rsidRDefault="00E256B0">
      <w:r>
        <w:separator/>
      </w:r>
    </w:p>
  </w:endnote>
  <w:endnote w:type="continuationSeparator" w:id="0">
    <w:p w14:paraId="6A9AF8EC" w14:textId="77777777" w:rsidR="00E256B0" w:rsidRDefault="00E25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897BE" w14:textId="77777777" w:rsidR="00B91B8D" w:rsidRDefault="00000000">
    <w:pPr>
      <w:pBdr>
        <w:top w:val="single" w:sz="4" w:space="0" w:color="CCCCCC"/>
      </w:pBdr>
      <w:jc w:val="right"/>
    </w:pPr>
    <w:r>
      <w:rPr>
        <w:color w:val="888888"/>
        <w:sz w:val="18"/>
        <w:szCs w:val="18"/>
      </w:rPr>
      <w:t xml:space="preserve">22 Prill </w:t>
    </w:r>
    <w:proofErr w:type="gramStart"/>
    <w:r>
      <w:rPr>
        <w:color w:val="888888"/>
        <w:sz w:val="18"/>
        <w:szCs w:val="18"/>
      </w:rPr>
      <w:t>2026  |</w:t>
    </w:r>
    <w:proofErr w:type="gramEnd"/>
    <w:r>
      <w:rPr>
        <w:color w:val="888888"/>
        <w:sz w:val="18"/>
        <w:szCs w:val="18"/>
      </w:rPr>
      <w:t xml:space="preserve">  </w:t>
    </w:r>
    <w:proofErr w:type="spellStart"/>
    <w:r>
      <w:rPr>
        <w:color w:val="888888"/>
        <w:sz w:val="18"/>
        <w:szCs w:val="18"/>
      </w:rPr>
      <w:t>Fq</w:t>
    </w:r>
    <w:proofErr w:type="spellEnd"/>
    <w:r>
      <w:rPr>
        <w:color w:val="888888"/>
        <w:sz w:val="18"/>
        <w:szCs w:val="18"/>
      </w:rPr>
      <w:t xml:space="preserve">. </w:t>
    </w:r>
    <w:r>
      <w:rPr>
        <w:color w:val="888888"/>
        <w:sz w:val="18"/>
        <w:szCs w:val="18"/>
      </w:rPr>
      <w:fldChar w:fldCharType="begin"/>
    </w:r>
    <w:r>
      <w:rPr>
        <w:color w:val="888888"/>
        <w:sz w:val="18"/>
        <w:szCs w:val="18"/>
      </w:rPr>
      <w:instrText>PAGE</w:instrText>
    </w:r>
    <w:r>
      <w:rPr>
        <w:color w:val="888888"/>
        <w:sz w:val="18"/>
        <w:szCs w:val="18"/>
      </w:rPr>
      <w:fldChar w:fldCharType="separate"/>
    </w:r>
    <w:r w:rsidR="000D5D70">
      <w:rPr>
        <w:noProof/>
        <w:color w:val="888888"/>
        <w:sz w:val="18"/>
        <w:szCs w:val="18"/>
      </w:rPr>
      <w:t>1</w:t>
    </w:r>
    <w:r>
      <w:rPr>
        <w:color w:val="888888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C57A2" w14:textId="77777777" w:rsidR="00E256B0" w:rsidRDefault="00E256B0">
      <w:r>
        <w:separator/>
      </w:r>
    </w:p>
  </w:footnote>
  <w:footnote w:type="continuationSeparator" w:id="0">
    <w:p w14:paraId="1B2B21BB" w14:textId="77777777" w:rsidR="00E256B0" w:rsidRDefault="00E256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FECDC" w14:textId="77777777" w:rsidR="00B91B8D" w:rsidRDefault="00000000">
    <w:pPr>
      <w:pBdr>
        <w:bottom w:val="single" w:sz="4" w:space="0" w:color="CCCCCC"/>
      </w:pBdr>
    </w:pPr>
    <w:proofErr w:type="spellStart"/>
    <w:r>
      <w:rPr>
        <w:color w:val="777777"/>
        <w:sz w:val="18"/>
        <w:szCs w:val="18"/>
      </w:rPr>
      <w:t>Komisioni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i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Posaçëm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Parlamentar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për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Reformën</w:t>
    </w:r>
    <w:proofErr w:type="spellEnd"/>
    <w:r>
      <w:rPr>
        <w:color w:val="777777"/>
        <w:sz w:val="18"/>
        <w:szCs w:val="18"/>
      </w:rPr>
      <w:t xml:space="preserve"> Administrative-</w:t>
    </w:r>
    <w:proofErr w:type="spellStart"/>
    <w:proofErr w:type="gramStart"/>
    <w:r>
      <w:rPr>
        <w:color w:val="777777"/>
        <w:sz w:val="18"/>
        <w:szCs w:val="18"/>
      </w:rPr>
      <w:t>Territoriale</w:t>
    </w:r>
    <w:proofErr w:type="spellEnd"/>
    <w:r>
      <w:rPr>
        <w:color w:val="777777"/>
        <w:sz w:val="18"/>
        <w:szCs w:val="18"/>
      </w:rPr>
      <w:t xml:space="preserve">  |</w:t>
    </w:r>
    <w:proofErr w:type="gramEnd"/>
    <w:r>
      <w:rPr>
        <w:color w:val="777777"/>
        <w:sz w:val="18"/>
        <w:szCs w:val="18"/>
      </w:rPr>
      <w:t xml:space="preserve">  </w:t>
    </w:r>
    <w:proofErr w:type="spellStart"/>
    <w:r>
      <w:rPr>
        <w:color w:val="777777"/>
        <w:sz w:val="18"/>
        <w:szCs w:val="18"/>
      </w:rPr>
      <w:t>Dëgjesë</w:t>
    </w:r>
    <w:proofErr w:type="spellEnd"/>
    <w:r>
      <w:rPr>
        <w:color w:val="777777"/>
        <w:sz w:val="18"/>
        <w:szCs w:val="18"/>
      </w:rPr>
      <w:t xml:space="preserve"> Publike – </w:t>
    </w:r>
    <w:proofErr w:type="spellStart"/>
    <w:r>
      <w:rPr>
        <w:color w:val="777777"/>
        <w:sz w:val="18"/>
        <w:szCs w:val="18"/>
      </w:rPr>
      <w:t>Qarku</w:t>
    </w:r>
    <w:proofErr w:type="spellEnd"/>
    <w:r>
      <w:rPr>
        <w:color w:val="777777"/>
        <w:sz w:val="18"/>
        <w:szCs w:val="18"/>
      </w:rPr>
      <w:t xml:space="preserve"> </w:t>
    </w:r>
    <w:proofErr w:type="spellStart"/>
    <w:r>
      <w:rPr>
        <w:color w:val="777777"/>
        <w:sz w:val="18"/>
        <w:szCs w:val="18"/>
      </w:rPr>
      <w:t>Lezhë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5B25"/>
    <w:multiLevelType w:val="hybridMultilevel"/>
    <w:tmpl w:val="D02CE4EE"/>
    <w:lvl w:ilvl="0" w:tplc="17A2F144">
      <w:start w:val="1"/>
      <w:numFmt w:val="bullet"/>
      <w:lvlText w:val="–"/>
      <w:lvlJc w:val="left"/>
      <w:pPr>
        <w:ind w:left="560" w:hanging="280"/>
      </w:pPr>
    </w:lvl>
    <w:lvl w:ilvl="1" w:tplc="62D0532E">
      <w:numFmt w:val="decimal"/>
      <w:lvlText w:val=""/>
      <w:lvlJc w:val="left"/>
    </w:lvl>
    <w:lvl w:ilvl="2" w:tplc="8326A89A">
      <w:numFmt w:val="decimal"/>
      <w:lvlText w:val=""/>
      <w:lvlJc w:val="left"/>
    </w:lvl>
    <w:lvl w:ilvl="3" w:tplc="8F7E71F2">
      <w:numFmt w:val="decimal"/>
      <w:lvlText w:val=""/>
      <w:lvlJc w:val="left"/>
    </w:lvl>
    <w:lvl w:ilvl="4" w:tplc="BDF261FE">
      <w:numFmt w:val="decimal"/>
      <w:lvlText w:val=""/>
      <w:lvlJc w:val="left"/>
    </w:lvl>
    <w:lvl w:ilvl="5" w:tplc="C46E3E5E">
      <w:numFmt w:val="decimal"/>
      <w:lvlText w:val=""/>
      <w:lvlJc w:val="left"/>
    </w:lvl>
    <w:lvl w:ilvl="6" w:tplc="2994805A">
      <w:numFmt w:val="decimal"/>
      <w:lvlText w:val=""/>
      <w:lvlJc w:val="left"/>
    </w:lvl>
    <w:lvl w:ilvl="7" w:tplc="713ED5AE">
      <w:numFmt w:val="decimal"/>
      <w:lvlText w:val=""/>
      <w:lvlJc w:val="left"/>
    </w:lvl>
    <w:lvl w:ilvl="8" w:tplc="1C567A82">
      <w:numFmt w:val="decimal"/>
      <w:lvlText w:val=""/>
      <w:lvlJc w:val="left"/>
    </w:lvl>
  </w:abstractNum>
  <w:abstractNum w:abstractNumId="1" w15:restartNumberingAfterBreak="0">
    <w:nsid w:val="1518632E"/>
    <w:multiLevelType w:val="hybridMultilevel"/>
    <w:tmpl w:val="539027EC"/>
    <w:lvl w:ilvl="0" w:tplc="04CAFA98">
      <w:start w:val="1"/>
      <w:numFmt w:val="bullet"/>
      <w:lvlText w:val="•"/>
      <w:lvlJc w:val="left"/>
      <w:pPr>
        <w:ind w:left="1000" w:hanging="280"/>
      </w:pPr>
    </w:lvl>
    <w:lvl w:ilvl="1" w:tplc="331C45C8">
      <w:numFmt w:val="decimal"/>
      <w:lvlText w:val=""/>
      <w:lvlJc w:val="left"/>
    </w:lvl>
    <w:lvl w:ilvl="2" w:tplc="826252F0">
      <w:numFmt w:val="decimal"/>
      <w:lvlText w:val=""/>
      <w:lvlJc w:val="left"/>
    </w:lvl>
    <w:lvl w:ilvl="3" w:tplc="5ACEF0E2">
      <w:numFmt w:val="decimal"/>
      <w:lvlText w:val=""/>
      <w:lvlJc w:val="left"/>
    </w:lvl>
    <w:lvl w:ilvl="4" w:tplc="CF801324">
      <w:numFmt w:val="decimal"/>
      <w:lvlText w:val=""/>
      <w:lvlJc w:val="left"/>
    </w:lvl>
    <w:lvl w:ilvl="5" w:tplc="CC0A347E">
      <w:numFmt w:val="decimal"/>
      <w:lvlText w:val=""/>
      <w:lvlJc w:val="left"/>
    </w:lvl>
    <w:lvl w:ilvl="6" w:tplc="454023D0">
      <w:numFmt w:val="decimal"/>
      <w:lvlText w:val=""/>
      <w:lvlJc w:val="left"/>
    </w:lvl>
    <w:lvl w:ilvl="7" w:tplc="359AE24E">
      <w:numFmt w:val="decimal"/>
      <w:lvlText w:val=""/>
      <w:lvlJc w:val="left"/>
    </w:lvl>
    <w:lvl w:ilvl="8" w:tplc="5B983FC2">
      <w:numFmt w:val="decimal"/>
      <w:lvlText w:val=""/>
      <w:lvlJc w:val="left"/>
    </w:lvl>
  </w:abstractNum>
  <w:abstractNum w:abstractNumId="2" w15:restartNumberingAfterBreak="0">
    <w:nsid w:val="7D47549B"/>
    <w:multiLevelType w:val="hybridMultilevel"/>
    <w:tmpl w:val="7326176A"/>
    <w:lvl w:ilvl="0" w:tplc="945272E2">
      <w:start w:val="1"/>
      <w:numFmt w:val="bullet"/>
      <w:lvlText w:val="●"/>
      <w:lvlJc w:val="left"/>
      <w:pPr>
        <w:ind w:left="720" w:hanging="360"/>
      </w:pPr>
    </w:lvl>
    <w:lvl w:ilvl="1" w:tplc="E2F20F82">
      <w:start w:val="1"/>
      <w:numFmt w:val="bullet"/>
      <w:lvlText w:val="○"/>
      <w:lvlJc w:val="left"/>
      <w:pPr>
        <w:ind w:left="1440" w:hanging="360"/>
      </w:pPr>
    </w:lvl>
    <w:lvl w:ilvl="2" w:tplc="411C5478">
      <w:start w:val="1"/>
      <w:numFmt w:val="bullet"/>
      <w:lvlText w:val="■"/>
      <w:lvlJc w:val="left"/>
      <w:pPr>
        <w:ind w:left="2160" w:hanging="360"/>
      </w:pPr>
    </w:lvl>
    <w:lvl w:ilvl="3" w:tplc="16B45EAC">
      <w:start w:val="1"/>
      <w:numFmt w:val="bullet"/>
      <w:lvlText w:val="●"/>
      <w:lvlJc w:val="left"/>
      <w:pPr>
        <w:ind w:left="2880" w:hanging="360"/>
      </w:pPr>
    </w:lvl>
    <w:lvl w:ilvl="4" w:tplc="4E8495F4">
      <w:start w:val="1"/>
      <w:numFmt w:val="bullet"/>
      <w:lvlText w:val="○"/>
      <w:lvlJc w:val="left"/>
      <w:pPr>
        <w:ind w:left="3600" w:hanging="360"/>
      </w:pPr>
    </w:lvl>
    <w:lvl w:ilvl="5" w:tplc="4FFA8FAC">
      <w:start w:val="1"/>
      <w:numFmt w:val="bullet"/>
      <w:lvlText w:val="■"/>
      <w:lvlJc w:val="left"/>
      <w:pPr>
        <w:ind w:left="4320" w:hanging="360"/>
      </w:pPr>
    </w:lvl>
    <w:lvl w:ilvl="6" w:tplc="673246AE">
      <w:start w:val="1"/>
      <w:numFmt w:val="bullet"/>
      <w:lvlText w:val="●"/>
      <w:lvlJc w:val="left"/>
      <w:pPr>
        <w:ind w:left="5040" w:hanging="360"/>
      </w:pPr>
    </w:lvl>
    <w:lvl w:ilvl="7" w:tplc="EFEA7F3A">
      <w:start w:val="1"/>
      <w:numFmt w:val="bullet"/>
      <w:lvlText w:val="●"/>
      <w:lvlJc w:val="left"/>
      <w:pPr>
        <w:ind w:left="5760" w:hanging="360"/>
      </w:pPr>
    </w:lvl>
    <w:lvl w:ilvl="8" w:tplc="6A387DDC">
      <w:start w:val="1"/>
      <w:numFmt w:val="bullet"/>
      <w:lvlText w:val="●"/>
      <w:lvlJc w:val="left"/>
      <w:pPr>
        <w:ind w:left="6480" w:hanging="360"/>
      </w:pPr>
    </w:lvl>
  </w:abstractNum>
  <w:num w:numId="1" w16cid:durableId="655643002">
    <w:abstractNumId w:val="2"/>
    <w:lvlOverride w:ilvl="0">
      <w:startOverride w:val="1"/>
    </w:lvlOverride>
  </w:num>
  <w:num w:numId="2" w16cid:durableId="15338354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B8D"/>
    <w:rsid w:val="000D5D70"/>
    <w:rsid w:val="00143913"/>
    <w:rsid w:val="00151AA6"/>
    <w:rsid w:val="005034D3"/>
    <w:rsid w:val="00575B56"/>
    <w:rsid w:val="00663F91"/>
    <w:rsid w:val="006C5074"/>
    <w:rsid w:val="0090066A"/>
    <w:rsid w:val="00A57896"/>
    <w:rsid w:val="00AB4BBA"/>
    <w:rsid w:val="00AC31F2"/>
    <w:rsid w:val="00AC352E"/>
    <w:rsid w:val="00AE40CE"/>
    <w:rsid w:val="00B33C49"/>
    <w:rsid w:val="00B91B8D"/>
    <w:rsid w:val="00B97C4C"/>
    <w:rsid w:val="00CA15FD"/>
    <w:rsid w:val="00CD0155"/>
    <w:rsid w:val="00D3239A"/>
    <w:rsid w:val="00E256B0"/>
    <w:rsid w:val="00FE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453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60"/>
      <w:outlineLvl w:val="0"/>
    </w:pPr>
    <w:rPr>
      <w:b/>
      <w:bCs/>
      <w:color w:val="FFFFFF"/>
      <w:sz w:val="26"/>
      <w:szCs w:val="26"/>
    </w:rPr>
  </w:style>
  <w:style w:type="paragraph" w:styleId="Heading2">
    <w:name w:val="heading 2"/>
    <w:uiPriority w:val="9"/>
    <w:unhideWhenUsed/>
    <w:qFormat/>
    <w:pPr>
      <w:spacing w:before="240" w:after="100"/>
      <w:outlineLvl w:val="1"/>
    </w:pPr>
    <w:rPr>
      <w:b/>
      <w:bCs/>
      <w:color w:val="2E5090"/>
      <w:sz w:val="24"/>
      <w:szCs w:val="24"/>
    </w:rPr>
  </w:style>
  <w:style w:type="paragraph" w:styleId="Heading3">
    <w:name w:val="heading 3"/>
    <w:uiPriority w:val="9"/>
    <w:unhideWhenUsed/>
    <w:qFormat/>
    <w:pPr>
      <w:spacing w:before="180" w:after="80"/>
      <w:outlineLvl w:val="2"/>
    </w:pPr>
    <w:rPr>
      <w:b/>
      <w:bCs/>
      <w:color w:val="1A1A1A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Revision">
    <w:name w:val="Revision"/>
    <w:hidden/>
    <w:uiPriority w:val="99"/>
    <w:semiHidden/>
    <w:rsid w:val="00D323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2751</Words>
  <Characters>15687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2026-04-27T10:11:00Z</dcterms:created>
  <dcterms:modified xsi:type="dcterms:W3CDTF">2026-04-27T11:37:00Z</dcterms:modified>
</cp:coreProperties>
</file>