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22DD0" w:rsidRDefault="00000000">
      <w:pPr>
        <w:spacing w:before="200" w:after="120" w:line="240" w:lineRule="auto"/>
        <w:jc w:val="center"/>
        <w:rPr>
          <w:rFonts w:ascii="Arial" w:eastAsia="Arial" w:hAnsi="Arial" w:cs="Arial"/>
          <w:sz w:val="22"/>
          <w:szCs w:val="22"/>
        </w:rPr>
      </w:pPr>
      <w:r>
        <w:rPr>
          <w:rFonts w:ascii="Arial" w:eastAsia="Arial" w:hAnsi="Arial" w:cs="Arial"/>
          <w:b/>
          <w:bCs/>
          <w:color w:val="1F3864"/>
          <w:sz w:val="36"/>
          <w:szCs w:val="36"/>
        </w:rPr>
        <w:t>PËRMBLEDHJE E DËGJESËS PUBLIKE</w:t>
      </w:r>
    </w:p>
    <w:p w14:paraId="00000002" w14:textId="77777777" w:rsidR="00422DD0" w:rsidRDefault="00000000">
      <w:pPr>
        <w:spacing w:after="80" w:line="240" w:lineRule="auto"/>
        <w:jc w:val="center"/>
        <w:rPr>
          <w:rFonts w:ascii="Arial" w:eastAsia="Arial" w:hAnsi="Arial" w:cs="Arial"/>
          <w:sz w:val="22"/>
          <w:szCs w:val="22"/>
        </w:rPr>
      </w:pPr>
      <w:r>
        <w:rPr>
          <w:rFonts w:ascii="Arial" w:eastAsia="Arial" w:hAnsi="Arial" w:cs="Arial"/>
          <w:color w:val="1A1A1A"/>
          <w:sz w:val="24"/>
          <w:szCs w:val="24"/>
        </w:rPr>
        <w:t>Komisioni i Posaçëm Parlamentar për Reformën Administrative-Territoriale</w:t>
      </w:r>
    </w:p>
    <w:p w14:paraId="00000003" w14:textId="77777777" w:rsidR="00422DD0" w:rsidRDefault="00000000">
      <w:pPr>
        <w:spacing w:after="320" w:line="240" w:lineRule="auto"/>
        <w:jc w:val="center"/>
        <w:rPr>
          <w:rFonts w:ascii="Arial" w:eastAsia="Arial" w:hAnsi="Arial" w:cs="Arial"/>
        </w:rPr>
      </w:pPr>
      <w:r>
        <w:rPr>
          <w:rFonts w:ascii="Arial" w:eastAsia="Arial" w:hAnsi="Arial" w:cs="Arial"/>
          <w:color w:val="555555"/>
          <w:sz w:val="22"/>
          <w:szCs w:val="22"/>
        </w:rPr>
        <w:t xml:space="preserve">Qarku Kukës </w:t>
      </w:r>
      <w:proofErr w:type="gramStart"/>
      <w:r>
        <w:rPr>
          <w:rFonts w:ascii="Arial" w:eastAsia="Arial" w:hAnsi="Arial" w:cs="Arial"/>
          <w:color w:val="555555"/>
          <w:sz w:val="22"/>
          <w:szCs w:val="22"/>
        </w:rPr>
        <w:t>|  26</w:t>
      </w:r>
      <w:proofErr w:type="gramEnd"/>
      <w:r>
        <w:rPr>
          <w:rFonts w:ascii="Arial" w:eastAsia="Arial" w:hAnsi="Arial" w:cs="Arial"/>
          <w:color w:val="555555"/>
          <w:sz w:val="22"/>
          <w:szCs w:val="22"/>
        </w:rPr>
        <w:t xml:space="preserve"> Maj 2026</w:t>
      </w:r>
    </w:p>
    <w:p w14:paraId="00000004"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0" w:name="_heading=h.crlylkyt6tiu" w:colFirst="0" w:colLast="0"/>
      <w:bookmarkEnd w:id="0"/>
      <w:r>
        <w:rPr>
          <w:rFonts w:ascii="Arial" w:eastAsia="Arial" w:hAnsi="Arial" w:cs="Arial"/>
          <w:color w:val="FFFFFF"/>
          <w:sz w:val="26"/>
          <w:szCs w:val="26"/>
        </w:rPr>
        <w:t>1. Konteksti dhe kuadri i dëgjesës</w:t>
      </w:r>
    </w:p>
    <w:p w14:paraId="00000005" w14:textId="77777777" w:rsidR="00422DD0" w:rsidRDefault="00000000">
      <w:pPr>
        <w:spacing w:after="0" w:line="252" w:lineRule="auto"/>
        <w:jc w:val="both"/>
        <w:rPr>
          <w:rFonts w:ascii="Arial" w:eastAsia="Arial" w:hAnsi="Arial" w:cs="Arial"/>
        </w:rPr>
      </w:pPr>
      <w:r>
        <w:rPr>
          <w:rFonts w:ascii="Arial" w:eastAsia="Arial" w:hAnsi="Arial" w:cs="Arial"/>
        </w:rPr>
        <w:t xml:space="preserve">Dëgjesa publike e Qarkut Kukës u zhvillua më 26 maj 2026, si pjesë e konsultimeve parlamentare për reformën administrative-territoriale dhe qeverisjen vendore. Diskutimi u përqendrua te territori, shërbimet, funksionet, kompetencat dhe financat vendore, me fokus praktik te përvoja e qytetarëve në bashkitë Kukës, </w:t>
      </w:r>
      <w:proofErr w:type="gramStart"/>
      <w:r>
        <w:rPr>
          <w:rFonts w:ascii="Arial" w:eastAsia="Arial" w:hAnsi="Arial" w:cs="Arial"/>
        </w:rPr>
        <w:t>Has</w:t>
      </w:r>
      <w:proofErr w:type="gramEnd"/>
      <w:r>
        <w:rPr>
          <w:rFonts w:ascii="Arial" w:eastAsia="Arial" w:hAnsi="Arial" w:cs="Arial"/>
        </w:rPr>
        <w:t xml:space="preserve"> dhe Tropojë, si dhe te sfidat specifike të një qarku malor, kufitar dhe me popullsi të shpërndarë.</w:t>
      </w:r>
    </w:p>
    <w:p w14:paraId="00000006" w14:textId="77777777" w:rsidR="00422DD0" w:rsidRDefault="00422DD0">
      <w:pPr>
        <w:spacing w:after="0" w:line="252" w:lineRule="auto"/>
        <w:jc w:val="both"/>
        <w:rPr>
          <w:rFonts w:ascii="Arial" w:eastAsia="Arial" w:hAnsi="Arial" w:cs="Arial"/>
        </w:rPr>
      </w:pPr>
    </w:p>
    <w:p w14:paraId="00000007"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1" w:name="_heading=h.xjygewxhewmw" w:colFirst="0" w:colLast="0"/>
      <w:bookmarkEnd w:id="1"/>
      <w:r>
        <w:rPr>
          <w:rFonts w:ascii="Arial" w:eastAsia="Arial" w:hAnsi="Arial" w:cs="Arial"/>
          <w:color w:val="FFFFFF"/>
          <w:sz w:val="26"/>
          <w:szCs w:val="26"/>
        </w:rPr>
        <w:t>2. Qeverisja vendore dhe përfaqësimi</w:t>
      </w:r>
    </w:p>
    <w:p w14:paraId="00000008" w14:textId="77777777" w:rsidR="00422DD0" w:rsidRDefault="00000000">
      <w:pPr>
        <w:pStyle w:val="Heading2"/>
        <w:keepNext w:val="0"/>
        <w:keepLines w:val="0"/>
        <w:pBdr>
          <w:bottom w:val="single" w:sz="4" w:space="4" w:color="2E5090"/>
        </w:pBdr>
        <w:spacing w:before="240" w:after="100" w:line="240" w:lineRule="auto"/>
        <w:jc w:val="both"/>
        <w:rPr>
          <w:rFonts w:ascii="Arial" w:eastAsia="Arial" w:hAnsi="Arial" w:cs="Arial"/>
        </w:rPr>
      </w:pPr>
      <w:bookmarkStart w:id="2" w:name="_heading=h.fusqsr5h7c4i" w:colFirst="0" w:colLast="0"/>
      <w:bookmarkEnd w:id="2"/>
      <w:r>
        <w:rPr>
          <w:rFonts w:ascii="Arial" w:eastAsia="Arial" w:hAnsi="Arial" w:cs="Arial"/>
          <w:color w:val="2E5090"/>
          <w:sz w:val="24"/>
          <w:szCs w:val="24"/>
        </w:rPr>
        <w:t>Gjetje kryesore</w:t>
      </w:r>
    </w:p>
    <w:p w14:paraId="00000009" w14:textId="77777777" w:rsidR="00422DD0" w:rsidRDefault="00000000">
      <w:pPr>
        <w:spacing w:after="0" w:line="252" w:lineRule="auto"/>
        <w:jc w:val="both"/>
        <w:rPr>
          <w:rFonts w:ascii="Arial" w:eastAsia="Arial" w:hAnsi="Arial" w:cs="Arial"/>
        </w:rPr>
      </w:pPr>
      <w:r>
        <w:rPr>
          <w:rFonts w:ascii="Arial" w:eastAsia="Arial" w:hAnsi="Arial" w:cs="Arial"/>
        </w:rPr>
        <w:t>● Në qarkun e Kukësit, distanca fizike, relievi malor, cilësia e rrugëve dhe shpërndarja e vendbanimeve ndikojnë drejtpërdrejt në aksesin e qytetarëve te bashkia dhe te shërbimet publike.</w:t>
      </w:r>
    </w:p>
    <w:p w14:paraId="0000000A" w14:textId="77777777" w:rsidR="00422DD0" w:rsidRDefault="00000000">
      <w:pPr>
        <w:spacing w:after="0" w:line="252" w:lineRule="auto"/>
        <w:jc w:val="both"/>
        <w:rPr>
          <w:rFonts w:ascii="Arial" w:eastAsia="Arial" w:hAnsi="Arial" w:cs="Arial"/>
        </w:rPr>
      </w:pPr>
      <w:r>
        <w:rPr>
          <w:rFonts w:ascii="Arial" w:eastAsia="Arial" w:hAnsi="Arial" w:cs="Arial"/>
        </w:rPr>
        <w:t>● U evidentuan qëndrime të ndryshme mbi madhësinë e bashkive: një pjesë e diskutimeve theksuan nevojën për të ruajtur ose fuqizuar bashkitë ekzistuese për shkak të kapaciteteve dhe identitetit, ndërsa një pjesë tjetër kërkoi riorganizim më të afërt me njësitë historike, rurale dhe malore.</w:t>
      </w:r>
    </w:p>
    <w:p w14:paraId="0000000B" w14:textId="77777777" w:rsidR="00422DD0" w:rsidRDefault="00000000">
      <w:pPr>
        <w:spacing w:after="0" w:line="252" w:lineRule="auto"/>
        <w:jc w:val="both"/>
        <w:rPr>
          <w:rFonts w:ascii="Arial" w:eastAsia="Arial" w:hAnsi="Arial" w:cs="Arial"/>
        </w:rPr>
      </w:pPr>
      <w:r>
        <w:rPr>
          <w:rFonts w:ascii="Arial" w:eastAsia="Arial" w:hAnsi="Arial" w:cs="Arial"/>
        </w:rPr>
        <w:t>● Njësitë administrative shihen si hallkë e domosdoshme për lidhjen e bashkisë me fshatrat, por roli i tyre aktual përfaqësues, vendimmarrës dhe operacional konsiderohet i kufizuar.</w:t>
      </w:r>
    </w:p>
    <w:p w14:paraId="0000000C" w14:textId="77777777" w:rsidR="00422DD0" w:rsidRDefault="00000000">
      <w:pPr>
        <w:spacing w:after="0" w:line="252" w:lineRule="auto"/>
        <w:jc w:val="both"/>
        <w:rPr>
          <w:rFonts w:ascii="Arial" w:eastAsia="Arial" w:hAnsi="Arial" w:cs="Arial"/>
        </w:rPr>
      </w:pPr>
      <w:r>
        <w:rPr>
          <w:rFonts w:ascii="Arial" w:eastAsia="Arial" w:hAnsi="Arial" w:cs="Arial"/>
        </w:rPr>
        <w:t>● Identiteti krahinor i Hasit, Lumës, Tropojës dhe zonave të tjera të qarkut u trajtua si element që duhet marrë parasysh në çdo diskutim për territorin dhe modelin e qeverisjes.</w:t>
      </w:r>
    </w:p>
    <w:p w14:paraId="0000000D" w14:textId="77777777" w:rsidR="00422DD0" w:rsidRDefault="00422DD0">
      <w:pPr>
        <w:spacing w:after="0" w:line="252" w:lineRule="auto"/>
        <w:jc w:val="both"/>
        <w:rPr>
          <w:rFonts w:ascii="Arial" w:eastAsia="Arial" w:hAnsi="Arial" w:cs="Arial"/>
        </w:rPr>
      </w:pPr>
    </w:p>
    <w:p w14:paraId="0000000E" w14:textId="77777777" w:rsidR="00422DD0" w:rsidRDefault="00000000">
      <w:pPr>
        <w:spacing w:before="40" w:after="0" w:line="252" w:lineRule="auto"/>
        <w:jc w:val="both"/>
        <w:rPr>
          <w:rFonts w:ascii="Arial" w:eastAsia="Arial" w:hAnsi="Arial" w:cs="Arial"/>
        </w:rPr>
      </w:pPr>
      <w:r>
        <w:rPr>
          <w:rFonts w:ascii="Arial" w:eastAsia="Arial" w:hAnsi="Arial" w:cs="Arial"/>
          <w:b/>
          <w:bCs/>
          <w:color w:val="2E5090"/>
          <w:sz w:val="24"/>
          <w:szCs w:val="24"/>
        </w:rPr>
        <w:t>Gjetje dytësore</w:t>
      </w:r>
    </w:p>
    <w:p w14:paraId="0000000F" w14:textId="77777777" w:rsidR="00422DD0" w:rsidRDefault="00000000">
      <w:pPr>
        <w:spacing w:after="0" w:line="252" w:lineRule="auto"/>
        <w:jc w:val="both"/>
        <w:rPr>
          <w:rFonts w:ascii="Arial" w:eastAsia="Arial" w:hAnsi="Arial" w:cs="Arial"/>
        </w:rPr>
      </w:pPr>
      <w:r>
        <w:rPr>
          <w:rFonts w:ascii="Arial" w:eastAsia="Arial" w:hAnsi="Arial" w:cs="Arial"/>
        </w:rPr>
        <w:t>● Qarku ka specifika të forta kufitare dhe ndërkufitare, veçanërisht në raport me Kosovën, të cilat ndikojnë në lëvizshmërinë, ekonominë lokale, diasporën dhe mundësitë e bashkëpunimit zhvillimor.</w:t>
      </w:r>
    </w:p>
    <w:p w14:paraId="00000010" w14:textId="77777777" w:rsidR="00422DD0" w:rsidRDefault="00000000">
      <w:pPr>
        <w:spacing w:after="0" w:line="252" w:lineRule="auto"/>
        <w:jc w:val="both"/>
        <w:rPr>
          <w:rFonts w:ascii="Arial" w:eastAsia="Arial" w:hAnsi="Arial" w:cs="Arial"/>
        </w:rPr>
      </w:pPr>
      <w:r>
        <w:rPr>
          <w:rFonts w:ascii="Arial" w:eastAsia="Arial" w:hAnsi="Arial" w:cs="Arial"/>
        </w:rPr>
        <w:t>● U ngrit shqetësimi se modeli aktual nuk garanton gjithmonë përfaqësim të mjaftueshëm të fshatrave dhe zonave të thella në këshillat bashkiakë dhe në vendimmarrjen për investime.</w:t>
      </w:r>
    </w:p>
    <w:p w14:paraId="00000011" w14:textId="77777777" w:rsidR="00422DD0" w:rsidRDefault="00000000">
      <w:pPr>
        <w:spacing w:after="0" w:line="252" w:lineRule="auto"/>
        <w:jc w:val="both"/>
        <w:rPr>
          <w:rFonts w:ascii="Arial" w:eastAsia="Arial" w:hAnsi="Arial" w:cs="Arial"/>
        </w:rPr>
      </w:pPr>
      <w:r>
        <w:rPr>
          <w:rFonts w:ascii="Arial" w:eastAsia="Arial" w:hAnsi="Arial" w:cs="Arial"/>
        </w:rPr>
        <w:t>● U vlerësua se bashkitë më të mëdha kanë sjellë në disa raste më shumë mundësi planifikimi, administrimi dhe koordinimi, por kjo nuk është përkthyer njësoj në të gjitha njësitë administrative.</w:t>
      </w:r>
    </w:p>
    <w:p w14:paraId="00000012" w14:textId="77777777" w:rsidR="00422DD0" w:rsidRDefault="00000000">
      <w:pPr>
        <w:spacing w:after="0" w:line="252" w:lineRule="auto"/>
        <w:jc w:val="both"/>
        <w:rPr>
          <w:rFonts w:ascii="Arial" w:eastAsia="Arial" w:hAnsi="Arial" w:cs="Arial"/>
        </w:rPr>
      </w:pPr>
      <w:r>
        <w:rPr>
          <w:rFonts w:ascii="Arial" w:eastAsia="Arial" w:hAnsi="Arial" w:cs="Arial"/>
        </w:rPr>
        <w:t>● Bashkëpunimi ndërbashkiak dhe një rol më funksional rajonal u përmendën si mundësi për çështje që tejkalojnë kufijtë e një bashkie, veçanërisht infrastrukturën, turizmin, mjedisin dhe zhvillimin ekonomik.</w:t>
      </w:r>
    </w:p>
    <w:p w14:paraId="00000013" w14:textId="77777777" w:rsidR="00422DD0" w:rsidRDefault="00422DD0">
      <w:pPr>
        <w:spacing w:after="0" w:line="252" w:lineRule="auto"/>
        <w:jc w:val="both"/>
        <w:rPr>
          <w:rFonts w:ascii="Arial" w:eastAsia="Arial" w:hAnsi="Arial" w:cs="Arial"/>
        </w:rPr>
      </w:pPr>
    </w:p>
    <w:p w14:paraId="00000014"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3" w:name="_heading=h.95eliik56g1g" w:colFirst="0" w:colLast="0"/>
      <w:bookmarkEnd w:id="3"/>
      <w:r>
        <w:rPr>
          <w:rFonts w:ascii="Arial" w:eastAsia="Arial" w:hAnsi="Arial" w:cs="Arial"/>
          <w:color w:val="FFFFFF"/>
          <w:sz w:val="26"/>
          <w:szCs w:val="26"/>
        </w:rPr>
        <w:t>3. Mbështetja ligjore dhe burimet</w:t>
      </w:r>
    </w:p>
    <w:p w14:paraId="00000015" w14:textId="77777777" w:rsidR="00422DD0" w:rsidRDefault="00000000">
      <w:pPr>
        <w:pStyle w:val="Heading2"/>
        <w:keepNext w:val="0"/>
        <w:keepLines w:val="0"/>
        <w:pBdr>
          <w:top w:val="nil"/>
          <w:left w:val="nil"/>
          <w:bottom w:val="single" w:sz="4" w:space="4" w:color="2E5090"/>
          <w:right w:val="nil"/>
          <w:between w:val="nil"/>
        </w:pBdr>
        <w:spacing w:before="240" w:after="100" w:line="240" w:lineRule="auto"/>
        <w:jc w:val="both"/>
        <w:rPr>
          <w:rFonts w:ascii="Arial" w:eastAsia="Arial" w:hAnsi="Arial" w:cs="Arial"/>
          <w:color w:val="2E5090"/>
          <w:sz w:val="24"/>
          <w:szCs w:val="24"/>
        </w:rPr>
      </w:pPr>
      <w:bookmarkStart w:id="4" w:name="_heading=h.bcwtip7neo5" w:colFirst="0" w:colLast="0"/>
      <w:bookmarkEnd w:id="4"/>
      <w:r>
        <w:rPr>
          <w:rFonts w:ascii="Arial" w:eastAsia="Arial" w:hAnsi="Arial" w:cs="Arial"/>
          <w:color w:val="2E5090"/>
          <w:sz w:val="24"/>
          <w:szCs w:val="24"/>
        </w:rPr>
        <w:t>Gjetje kryesore</w:t>
      </w:r>
    </w:p>
    <w:p w14:paraId="00000016" w14:textId="77777777" w:rsidR="00422DD0" w:rsidRDefault="00000000">
      <w:pPr>
        <w:spacing w:after="60" w:line="252" w:lineRule="auto"/>
        <w:jc w:val="both"/>
        <w:rPr>
          <w:rFonts w:ascii="Arial" w:eastAsia="Arial" w:hAnsi="Arial" w:cs="Arial"/>
        </w:rPr>
      </w:pPr>
      <w:proofErr w:type="gramStart"/>
      <w:r>
        <w:rPr>
          <w:rFonts w:ascii="Arial" w:eastAsia="Arial" w:hAnsi="Arial" w:cs="Arial"/>
        </w:rPr>
        <w:t>●  Kuadri</w:t>
      </w:r>
      <w:proofErr w:type="gramEnd"/>
      <w:r>
        <w:rPr>
          <w:rFonts w:ascii="Arial" w:eastAsia="Arial" w:hAnsi="Arial" w:cs="Arial"/>
        </w:rPr>
        <w:t xml:space="preserve"> ligjor ka përcaktuar një gamë të gjerë funksionesh për bashkitë, por në qarkun e Kukësit aftësia për t’i ushtruar këto funksione kufizohet nga burimet financiare, njerëzore dhe teknike.</w:t>
      </w:r>
    </w:p>
    <w:p w14:paraId="00000017" w14:textId="77777777" w:rsidR="00422DD0" w:rsidRDefault="00000000">
      <w:pPr>
        <w:spacing w:after="0" w:line="252" w:lineRule="auto"/>
        <w:jc w:val="both"/>
        <w:rPr>
          <w:rFonts w:ascii="Arial" w:eastAsia="Arial" w:hAnsi="Arial" w:cs="Arial"/>
        </w:rPr>
      </w:pPr>
      <w:r>
        <w:rPr>
          <w:rFonts w:ascii="Arial" w:eastAsia="Arial" w:hAnsi="Arial" w:cs="Arial"/>
        </w:rPr>
        <w:t>● Funksionet e deleguara dhe përgjegjësitë e përbashkëta kërkojnë ndarje më të qartë të rolit midis pushtetit vendor, pushtetit qendror dhe strukturave rajonale.</w:t>
      </w:r>
    </w:p>
    <w:p w14:paraId="00000018" w14:textId="77777777" w:rsidR="00422DD0" w:rsidRDefault="00000000">
      <w:pPr>
        <w:spacing w:after="0" w:line="252" w:lineRule="auto"/>
        <w:jc w:val="both"/>
        <w:rPr>
          <w:rFonts w:ascii="Arial" w:eastAsia="Arial" w:hAnsi="Arial" w:cs="Arial"/>
        </w:rPr>
      </w:pPr>
      <w:r>
        <w:rPr>
          <w:rFonts w:ascii="Arial" w:eastAsia="Arial" w:hAnsi="Arial" w:cs="Arial"/>
        </w:rPr>
        <w:lastRenderedPageBreak/>
        <w:t>● Njësitë administrative kanë nevojë për status më funksional, burime minimale dhe kompetenca më të qarta për të adresuar çështjet e përditshme të komunitetit.</w:t>
      </w:r>
    </w:p>
    <w:p w14:paraId="00000019" w14:textId="77777777" w:rsidR="00422DD0" w:rsidRDefault="00000000">
      <w:pPr>
        <w:spacing w:after="0" w:line="252" w:lineRule="auto"/>
        <w:jc w:val="both"/>
        <w:rPr>
          <w:rFonts w:ascii="Arial" w:eastAsia="Arial" w:hAnsi="Arial" w:cs="Arial"/>
        </w:rPr>
      </w:pPr>
      <w:r>
        <w:rPr>
          <w:rFonts w:ascii="Arial" w:eastAsia="Arial" w:hAnsi="Arial" w:cs="Arial"/>
        </w:rPr>
        <w:t>● Kapacitetet për hartimin, aplikimin dhe zbatimin e projekteve zhvillimore, përfshirë projektet e lidhura me fondet evropiane, u identifikuan si sfidë e rëndësishme për bashkitë e qarkut.</w:t>
      </w:r>
    </w:p>
    <w:p w14:paraId="0000001A" w14:textId="77777777" w:rsidR="00422DD0" w:rsidRDefault="00422DD0">
      <w:pPr>
        <w:spacing w:before="40" w:after="0" w:line="252" w:lineRule="auto"/>
        <w:jc w:val="both"/>
        <w:rPr>
          <w:rFonts w:ascii="Arial" w:eastAsia="Arial" w:hAnsi="Arial" w:cs="Arial"/>
          <w:b/>
          <w:bCs/>
          <w:color w:val="2E5090"/>
          <w:sz w:val="24"/>
          <w:szCs w:val="24"/>
        </w:rPr>
      </w:pPr>
    </w:p>
    <w:p w14:paraId="0000001B" w14:textId="77777777" w:rsidR="00422DD0" w:rsidRDefault="00000000">
      <w:pPr>
        <w:spacing w:before="40" w:after="0" w:line="252" w:lineRule="auto"/>
        <w:jc w:val="both"/>
        <w:rPr>
          <w:rFonts w:ascii="Arial" w:eastAsia="Arial" w:hAnsi="Arial" w:cs="Arial"/>
        </w:rPr>
      </w:pPr>
      <w:r>
        <w:rPr>
          <w:rFonts w:ascii="Arial" w:eastAsia="Arial" w:hAnsi="Arial" w:cs="Arial"/>
          <w:b/>
          <w:bCs/>
          <w:color w:val="2E5090"/>
          <w:sz w:val="24"/>
          <w:szCs w:val="24"/>
        </w:rPr>
        <w:t>Gjetje dytësore</w:t>
      </w:r>
    </w:p>
    <w:p w14:paraId="0000001C" w14:textId="77777777" w:rsidR="00422DD0" w:rsidRDefault="00000000">
      <w:pPr>
        <w:spacing w:after="0" w:line="252" w:lineRule="auto"/>
        <w:jc w:val="both"/>
        <w:rPr>
          <w:rFonts w:ascii="Arial" w:eastAsia="Arial" w:hAnsi="Arial" w:cs="Arial"/>
        </w:rPr>
      </w:pPr>
      <w:r>
        <w:rPr>
          <w:rFonts w:ascii="Arial" w:eastAsia="Arial" w:hAnsi="Arial" w:cs="Arial"/>
        </w:rPr>
        <w:t>● U ngrit nevoja për forcimin e burimeve njerëzore në administratën vendore, veçanërisht për profile teknike si inxhinierë, juristë, ekonomistë, specialistë projektesh dhe ekspertë të zhvillimit rural.</w:t>
      </w:r>
    </w:p>
    <w:p w14:paraId="0000001D" w14:textId="77777777" w:rsidR="00422DD0" w:rsidRDefault="00000000">
      <w:pPr>
        <w:spacing w:after="0" w:line="252" w:lineRule="auto"/>
        <w:jc w:val="both"/>
        <w:rPr>
          <w:rFonts w:ascii="Arial" w:eastAsia="Arial" w:hAnsi="Arial" w:cs="Arial"/>
        </w:rPr>
      </w:pPr>
      <w:r>
        <w:rPr>
          <w:rFonts w:ascii="Arial" w:eastAsia="Arial" w:hAnsi="Arial" w:cs="Arial"/>
        </w:rPr>
        <w:t>● Çështjet e pronësisë, kadastrës dhe certifikimit të pronave u lidhën drejtpërdrejt me aftësinë e qytetarëve për të investuar, ndërtuar dhe gjeneruar të ardhura vendore.</w:t>
      </w:r>
    </w:p>
    <w:p w14:paraId="0000001E" w14:textId="77777777" w:rsidR="00422DD0" w:rsidRDefault="00000000">
      <w:pPr>
        <w:spacing w:after="0" w:line="252" w:lineRule="auto"/>
        <w:jc w:val="both"/>
        <w:rPr>
          <w:rFonts w:ascii="Arial" w:eastAsia="Arial" w:hAnsi="Arial" w:cs="Arial"/>
        </w:rPr>
      </w:pPr>
      <w:r>
        <w:rPr>
          <w:rFonts w:ascii="Arial" w:eastAsia="Arial" w:hAnsi="Arial" w:cs="Arial"/>
        </w:rPr>
        <w:t>● Roli i administratorëve të njësive administrative u pa si i pamjaftueshëm nëse nuk shoqërohet me përgjegjësi të qarta, burime dhe mekanizma llogaridhënieje ndaj komunitetit.</w:t>
      </w:r>
    </w:p>
    <w:p w14:paraId="0000001F" w14:textId="77777777" w:rsidR="00422DD0" w:rsidRDefault="00000000">
      <w:pPr>
        <w:spacing w:after="0" w:line="252" w:lineRule="auto"/>
        <w:jc w:val="both"/>
        <w:rPr>
          <w:rFonts w:ascii="Arial" w:eastAsia="Arial" w:hAnsi="Arial" w:cs="Arial"/>
        </w:rPr>
      </w:pPr>
      <w:r>
        <w:rPr>
          <w:rFonts w:ascii="Arial" w:eastAsia="Arial" w:hAnsi="Arial" w:cs="Arial"/>
        </w:rPr>
        <w:t>● Për zonat malore u kërkua që standardet e shërbimit dhe të financimit të mos maten vetëm me numër popullsie, por edhe me territor, distancë, kosto reale dhe vështirësi aksesi.</w:t>
      </w:r>
    </w:p>
    <w:p w14:paraId="00000020" w14:textId="77777777" w:rsidR="00422DD0" w:rsidRDefault="00422DD0">
      <w:pPr>
        <w:spacing w:after="60" w:line="252" w:lineRule="auto"/>
        <w:jc w:val="both"/>
        <w:rPr>
          <w:rFonts w:ascii="Arial" w:eastAsia="Arial" w:hAnsi="Arial" w:cs="Arial"/>
        </w:rPr>
      </w:pPr>
    </w:p>
    <w:p w14:paraId="00000021"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5" w:name="_heading=h.srpsa679x15t" w:colFirst="0" w:colLast="0"/>
      <w:bookmarkEnd w:id="5"/>
      <w:r>
        <w:rPr>
          <w:rFonts w:ascii="Arial" w:eastAsia="Arial" w:hAnsi="Arial" w:cs="Arial"/>
          <w:color w:val="FFFFFF"/>
          <w:sz w:val="26"/>
          <w:szCs w:val="26"/>
        </w:rPr>
        <w:t>4. Funksionet, kompetencat dhe shërbimet</w:t>
      </w:r>
    </w:p>
    <w:p w14:paraId="00000022" w14:textId="77777777" w:rsidR="00422DD0" w:rsidRDefault="00000000">
      <w:pPr>
        <w:pStyle w:val="Heading2"/>
        <w:keepNext w:val="0"/>
        <w:keepLines w:val="0"/>
        <w:pBdr>
          <w:top w:val="nil"/>
          <w:left w:val="nil"/>
          <w:bottom w:val="single" w:sz="4" w:space="4" w:color="2E5090"/>
          <w:right w:val="nil"/>
          <w:between w:val="nil"/>
        </w:pBdr>
        <w:spacing w:before="240" w:after="100" w:line="240" w:lineRule="auto"/>
        <w:jc w:val="both"/>
        <w:rPr>
          <w:rFonts w:ascii="Arial" w:eastAsia="Arial" w:hAnsi="Arial" w:cs="Arial"/>
          <w:color w:val="2E5090"/>
          <w:sz w:val="24"/>
          <w:szCs w:val="24"/>
        </w:rPr>
      </w:pPr>
      <w:bookmarkStart w:id="6" w:name="_heading=h.1whe701n8s7y" w:colFirst="0" w:colLast="0"/>
      <w:bookmarkEnd w:id="6"/>
      <w:r>
        <w:rPr>
          <w:rFonts w:ascii="Arial" w:eastAsia="Arial" w:hAnsi="Arial" w:cs="Arial"/>
          <w:color w:val="2E5090"/>
          <w:sz w:val="24"/>
          <w:szCs w:val="24"/>
        </w:rPr>
        <w:t>Gjetje kryesore</w:t>
      </w:r>
    </w:p>
    <w:p w14:paraId="00000023" w14:textId="77777777" w:rsidR="00422DD0" w:rsidRDefault="00000000">
      <w:pPr>
        <w:spacing w:after="0" w:line="252" w:lineRule="auto"/>
        <w:jc w:val="both"/>
        <w:rPr>
          <w:rFonts w:ascii="Arial" w:eastAsia="Arial" w:hAnsi="Arial" w:cs="Arial"/>
        </w:rPr>
      </w:pPr>
      <w:r>
        <w:rPr>
          <w:rFonts w:ascii="Arial" w:eastAsia="Arial" w:hAnsi="Arial" w:cs="Arial"/>
        </w:rPr>
        <w:t>● Shërbimet bazë janë përmirësuar në disa fusha dhe zona, por cilësia, afërsia dhe ritmi i ofrimit të tyre nuk janë të njëtrajtshme në të gjithë qarkun.</w:t>
      </w:r>
    </w:p>
    <w:p w14:paraId="00000024" w14:textId="77777777" w:rsidR="00422DD0" w:rsidRDefault="00000000">
      <w:pPr>
        <w:spacing w:after="0" w:line="252" w:lineRule="auto"/>
        <w:jc w:val="both"/>
        <w:rPr>
          <w:rFonts w:ascii="Arial" w:eastAsia="Arial" w:hAnsi="Arial" w:cs="Arial"/>
        </w:rPr>
      </w:pPr>
      <w:r>
        <w:rPr>
          <w:rFonts w:ascii="Arial" w:eastAsia="Arial" w:hAnsi="Arial" w:cs="Arial"/>
        </w:rPr>
        <w:t>● Rrugët rurale dhe lidhja e fshatrave me qendrat administrative përbëjnë një nga shqetësimet më të përsëritura, veçanërisht për zonat malore dhe vendbanimet e largëta.</w:t>
      </w:r>
    </w:p>
    <w:p w14:paraId="00000025" w14:textId="77777777" w:rsidR="00422DD0" w:rsidRDefault="00000000">
      <w:pPr>
        <w:spacing w:after="0" w:line="252" w:lineRule="auto"/>
        <w:jc w:val="both"/>
        <w:rPr>
          <w:rFonts w:ascii="Arial" w:eastAsia="Arial" w:hAnsi="Arial" w:cs="Arial"/>
        </w:rPr>
      </w:pPr>
      <w:r>
        <w:rPr>
          <w:rFonts w:ascii="Arial" w:eastAsia="Arial" w:hAnsi="Arial" w:cs="Arial"/>
        </w:rPr>
        <w:t>● Arsimi, transporti drejt shkollave, mirëmbajtja e objekteve arsimore dhe mbyllja e shkollave në zona të shpopulluara u trajtuan si tregues të ndikimit të drejtpërdrejtë të shërbimeve në qëndrueshmërinë e komuniteteve.</w:t>
      </w:r>
    </w:p>
    <w:p w14:paraId="00000026" w14:textId="77777777" w:rsidR="00422DD0" w:rsidRDefault="00000000">
      <w:pPr>
        <w:spacing w:after="0" w:line="252" w:lineRule="auto"/>
        <w:jc w:val="both"/>
        <w:rPr>
          <w:rFonts w:ascii="Arial" w:eastAsia="Arial" w:hAnsi="Arial" w:cs="Arial"/>
        </w:rPr>
      </w:pPr>
      <w:r>
        <w:rPr>
          <w:rFonts w:ascii="Arial" w:eastAsia="Arial" w:hAnsi="Arial" w:cs="Arial"/>
        </w:rPr>
        <w:t>● Menaxhimi i mbetjeve, ndotja e liqenit dhe ruajtja e burimeve ujore kërkojnë zgjidhje që tejkalojnë kapacitetet e një bashkie të vetme dhe lidhen edhe me aktorë qendrorë e rajonalë.</w:t>
      </w:r>
    </w:p>
    <w:p w14:paraId="00000027" w14:textId="77777777" w:rsidR="00422DD0" w:rsidRDefault="00000000">
      <w:pPr>
        <w:spacing w:after="0" w:line="252" w:lineRule="auto"/>
        <w:jc w:val="both"/>
        <w:rPr>
          <w:rFonts w:ascii="Arial" w:eastAsia="Arial" w:hAnsi="Arial" w:cs="Arial"/>
        </w:rPr>
      </w:pPr>
      <w:r>
        <w:rPr>
          <w:rFonts w:ascii="Arial" w:eastAsia="Arial" w:hAnsi="Arial" w:cs="Arial"/>
        </w:rPr>
        <w:t>● Turizmi malor, natyror dhe kulturor shihet si mundësi zhvillimi për Kukësin, Hasin dhe Tropojën, por kërkon infrastrukturë, shërbime publike, akses rrugor dhe kapacitete më të qëndrueshme vendore.</w:t>
      </w:r>
    </w:p>
    <w:p w14:paraId="00000028" w14:textId="77777777" w:rsidR="00422DD0" w:rsidRDefault="00422DD0">
      <w:pPr>
        <w:spacing w:after="0" w:line="252" w:lineRule="auto"/>
        <w:jc w:val="both"/>
        <w:rPr>
          <w:rFonts w:ascii="Arial" w:eastAsia="Arial" w:hAnsi="Arial" w:cs="Arial"/>
        </w:rPr>
      </w:pPr>
    </w:p>
    <w:p w14:paraId="00000029" w14:textId="77777777" w:rsidR="00422DD0" w:rsidRDefault="00000000">
      <w:pPr>
        <w:spacing w:before="40" w:after="0" w:line="252" w:lineRule="auto"/>
        <w:jc w:val="both"/>
        <w:rPr>
          <w:rFonts w:ascii="Arial" w:eastAsia="Arial" w:hAnsi="Arial" w:cs="Arial"/>
        </w:rPr>
      </w:pPr>
      <w:r>
        <w:rPr>
          <w:rFonts w:ascii="Arial" w:eastAsia="Arial" w:hAnsi="Arial" w:cs="Arial"/>
          <w:b/>
          <w:bCs/>
          <w:color w:val="2E5090"/>
          <w:sz w:val="24"/>
          <w:szCs w:val="24"/>
        </w:rPr>
        <w:t>Gjetje dytësore</w:t>
      </w:r>
    </w:p>
    <w:p w14:paraId="0000002A" w14:textId="77777777" w:rsidR="00422DD0" w:rsidRDefault="00000000">
      <w:pPr>
        <w:spacing w:after="0" w:line="252" w:lineRule="auto"/>
        <w:jc w:val="both"/>
        <w:rPr>
          <w:rFonts w:ascii="Arial" w:eastAsia="Arial" w:hAnsi="Arial" w:cs="Arial"/>
        </w:rPr>
      </w:pPr>
      <w:r>
        <w:rPr>
          <w:rFonts w:ascii="Arial" w:eastAsia="Arial" w:hAnsi="Arial" w:cs="Arial"/>
        </w:rPr>
        <w:t>● U përmendën zona ku marrja e shërbimeve kërkon distanca të gjata, kosto transporti dhe kohë të konsiderueshme për qytetarët, edhe kur shërbimi është formalizuar apo digjitalizuar.</w:t>
      </w:r>
    </w:p>
    <w:p w14:paraId="0000002B" w14:textId="77777777" w:rsidR="00422DD0" w:rsidRDefault="00000000">
      <w:pPr>
        <w:spacing w:after="0" w:line="252" w:lineRule="auto"/>
        <w:jc w:val="both"/>
        <w:rPr>
          <w:rFonts w:ascii="Arial" w:eastAsia="Arial" w:hAnsi="Arial" w:cs="Arial"/>
        </w:rPr>
      </w:pPr>
      <w:r>
        <w:rPr>
          <w:rFonts w:ascii="Arial" w:eastAsia="Arial" w:hAnsi="Arial" w:cs="Arial"/>
        </w:rPr>
        <w:t>● Shërbimet e ujit/ujësjellësit, kanalizimeve, ndriçimit, mirëmbajtjes dimërore dhe emergjencave kërkojnë trajtim të përshtatur për terrenin malor.</w:t>
      </w:r>
    </w:p>
    <w:p w14:paraId="0000002C" w14:textId="77777777" w:rsidR="00422DD0" w:rsidRDefault="00000000">
      <w:pPr>
        <w:spacing w:after="0" w:line="252" w:lineRule="auto"/>
        <w:jc w:val="both"/>
        <w:rPr>
          <w:rFonts w:ascii="Arial" w:eastAsia="Arial" w:hAnsi="Arial" w:cs="Arial"/>
        </w:rPr>
      </w:pPr>
      <w:r>
        <w:rPr>
          <w:rFonts w:ascii="Arial" w:eastAsia="Arial" w:hAnsi="Arial" w:cs="Arial"/>
        </w:rPr>
        <w:t>● Bujqësia, blegtoria dhe pyjet kërkojnë mbështetje më të drejtpërdrejtë vendore, pasi lidhen me ekonominë familjare dhe me mundësinë e frenimit të largimit nga zonat rurale.</w:t>
      </w:r>
    </w:p>
    <w:p w14:paraId="0000002D" w14:textId="77777777" w:rsidR="00422DD0" w:rsidRDefault="00000000">
      <w:pPr>
        <w:spacing w:after="0" w:line="252" w:lineRule="auto"/>
        <w:jc w:val="both"/>
        <w:rPr>
          <w:rFonts w:ascii="Arial" w:eastAsia="Arial" w:hAnsi="Arial" w:cs="Arial"/>
        </w:rPr>
      </w:pPr>
      <w:r>
        <w:rPr>
          <w:rFonts w:ascii="Arial" w:eastAsia="Arial" w:hAnsi="Arial" w:cs="Arial"/>
        </w:rPr>
        <w:t>● U vlerësua se disa shërbime administrative janë bërë më të shpejta përmes digjitalizimit, por kjo nuk e zëvendëson plotësisht nevojën për prezencë institucionale dhe asistencë në territor.</w:t>
      </w:r>
    </w:p>
    <w:p w14:paraId="0000002E" w14:textId="77777777" w:rsidR="00422DD0" w:rsidRDefault="00000000">
      <w:pPr>
        <w:spacing w:after="0" w:line="252" w:lineRule="auto"/>
        <w:jc w:val="both"/>
        <w:rPr>
          <w:rFonts w:ascii="Arial" w:eastAsia="Arial" w:hAnsi="Arial" w:cs="Arial"/>
        </w:rPr>
      </w:pPr>
      <w:r>
        <w:rPr>
          <w:rFonts w:ascii="Arial" w:eastAsia="Arial" w:hAnsi="Arial" w:cs="Arial"/>
        </w:rPr>
        <w:t>● Për funksione të kushtueshme ose teknike, si mbetjet, menaxhimi i ujërave, infrastruktura rajonale dhe projektet e mëdha turistike, bashkëpunimi ndërbashkiak mund të jetë zgjidhje më praktike sesa shpërndaja e përgjegjësive.</w:t>
      </w:r>
    </w:p>
    <w:p w14:paraId="0000002F" w14:textId="77777777" w:rsidR="00422DD0" w:rsidRDefault="00422DD0">
      <w:pPr>
        <w:spacing w:after="60" w:line="252" w:lineRule="auto"/>
        <w:ind w:left="90" w:hanging="150"/>
        <w:jc w:val="both"/>
        <w:rPr>
          <w:rFonts w:ascii="Arial" w:eastAsia="Arial" w:hAnsi="Arial" w:cs="Arial"/>
        </w:rPr>
      </w:pPr>
    </w:p>
    <w:p w14:paraId="00000030" w14:textId="77777777" w:rsidR="00422DD0" w:rsidRDefault="00422DD0">
      <w:pPr>
        <w:spacing w:after="60" w:line="252" w:lineRule="auto"/>
        <w:ind w:left="90" w:hanging="150"/>
        <w:jc w:val="both"/>
        <w:rPr>
          <w:rFonts w:ascii="Arial" w:eastAsia="Arial" w:hAnsi="Arial" w:cs="Arial"/>
        </w:rPr>
      </w:pPr>
    </w:p>
    <w:p w14:paraId="00000031" w14:textId="77777777" w:rsidR="00422DD0" w:rsidRDefault="00422DD0">
      <w:pPr>
        <w:spacing w:after="60" w:line="252" w:lineRule="auto"/>
        <w:ind w:left="90" w:hanging="150"/>
        <w:jc w:val="both"/>
        <w:rPr>
          <w:rFonts w:ascii="Arial" w:eastAsia="Arial" w:hAnsi="Arial" w:cs="Arial"/>
        </w:rPr>
      </w:pPr>
    </w:p>
    <w:p w14:paraId="00000032"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7" w:name="_heading=h.t9p2gevmpkrc" w:colFirst="0" w:colLast="0"/>
      <w:bookmarkEnd w:id="7"/>
      <w:r>
        <w:rPr>
          <w:rFonts w:ascii="Arial" w:eastAsia="Arial" w:hAnsi="Arial" w:cs="Arial"/>
          <w:color w:val="FFFFFF"/>
          <w:sz w:val="26"/>
          <w:szCs w:val="26"/>
        </w:rPr>
        <w:t>5. Parimet e financimit të njësive të qeverisjes vendore</w:t>
      </w:r>
    </w:p>
    <w:p w14:paraId="00000033" w14:textId="77777777" w:rsidR="00422DD0" w:rsidRDefault="00000000">
      <w:pPr>
        <w:pStyle w:val="Heading2"/>
        <w:keepNext w:val="0"/>
        <w:keepLines w:val="0"/>
        <w:pBdr>
          <w:top w:val="nil"/>
          <w:left w:val="nil"/>
          <w:bottom w:val="single" w:sz="4" w:space="4" w:color="2E5090"/>
          <w:right w:val="nil"/>
          <w:between w:val="nil"/>
        </w:pBdr>
        <w:spacing w:before="240" w:after="100" w:line="240" w:lineRule="auto"/>
        <w:jc w:val="both"/>
        <w:rPr>
          <w:rFonts w:ascii="Arial" w:eastAsia="Arial" w:hAnsi="Arial" w:cs="Arial"/>
          <w:color w:val="2E5090"/>
          <w:sz w:val="24"/>
          <w:szCs w:val="24"/>
        </w:rPr>
      </w:pPr>
      <w:bookmarkStart w:id="8" w:name="_heading=h.cilkfgnqyy5m" w:colFirst="0" w:colLast="0"/>
      <w:bookmarkEnd w:id="8"/>
      <w:r>
        <w:rPr>
          <w:rFonts w:ascii="Arial" w:eastAsia="Arial" w:hAnsi="Arial" w:cs="Arial"/>
          <w:color w:val="2E5090"/>
          <w:sz w:val="24"/>
          <w:szCs w:val="24"/>
        </w:rPr>
        <w:lastRenderedPageBreak/>
        <w:t>Gjetje kryesore</w:t>
      </w:r>
    </w:p>
    <w:p w14:paraId="00000034" w14:textId="77777777" w:rsidR="00422DD0" w:rsidRDefault="00000000">
      <w:pPr>
        <w:spacing w:after="0" w:line="252" w:lineRule="auto"/>
        <w:jc w:val="both"/>
        <w:rPr>
          <w:rFonts w:ascii="Arial" w:eastAsia="Arial" w:hAnsi="Arial" w:cs="Arial"/>
        </w:rPr>
      </w:pPr>
      <w:r>
        <w:rPr>
          <w:rFonts w:ascii="Arial" w:eastAsia="Arial" w:hAnsi="Arial" w:cs="Arial"/>
        </w:rPr>
        <w:t>● Financimi vendor në qarkun e Kukësit duhet të pasqyrojë më qartë koston reale të shërbimeve në një territor malor, me sipërfaqe të madhe, popullsi të shpërndarë dhe akses të vështirë.</w:t>
      </w:r>
    </w:p>
    <w:p w14:paraId="00000035" w14:textId="77777777" w:rsidR="00422DD0" w:rsidRDefault="00000000">
      <w:pPr>
        <w:spacing w:after="0" w:line="252" w:lineRule="auto"/>
        <w:jc w:val="both"/>
        <w:rPr>
          <w:rFonts w:ascii="Arial" w:eastAsia="Arial" w:hAnsi="Arial" w:cs="Arial"/>
        </w:rPr>
      </w:pPr>
      <w:r>
        <w:rPr>
          <w:rFonts w:ascii="Arial" w:eastAsia="Arial" w:hAnsi="Arial" w:cs="Arial"/>
        </w:rPr>
        <w:t>● Formula aktuale e financimit nuk konsiderohet e mjaftueshme për të mbuluar diferencat reale midis bashkive fushore, urbane, turistike dhe bashkive malore e kufitare.</w:t>
      </w:r>
    </w:p>
    <w:p w14:paraId="00000036" w14:textId="77777777" w:rsidR="00422DD0" w:rsidRDefault="00000000">
      <w:pPr>
        <w:spacing w:after="0" w:line="252" w:lineRule="auto"/>
        <w:jc w:val="both"/>
        <w:rPr>
          <w:rFonts w:ascii="Arial" w:eastAsia="Arial" w:hAnsi="Arial" w:cs="Arial"/>
        </w:rPr>
      </w:pPr>
      <w:r>
        <w:rPr>
          <w:rFonts w:ascii="Arial" w:eastAsia="Arial" w:hAnsi="Arial" w:cs="Arial"/>
        </w:rPr>
        <w:t>● Të ardhurat e veta vendore mbeten të kufizuara dhe nuk mjaftojnë për të përballuar nevojat për rrugë rurale, mirëmbajtje, shërbime bazë dhe investime zhvillimore.</w:t>
      </w:r>
    </w:p>
    <w:p w14:paraId="00000037" w14:textId="77777777" w:rsidR="00422DD0" w:rsidRDefault="00000000">
      <w:pPr>
        <w:spacing w:after="0" w:line="252" w:lineRule="auto"/>
        <w:jc w:val="both"/>
        <w:rPr>
          <w:rFonts w:ascii="Arial" w:eastAsia="Arial" w:hAnsi="Arial" w:cs="Arial"/>
        </w:rPr>
      </w:pPr>
      <w:r>
        <w:rPr>
          <w:rFonts w:ascii="Arial" w:eastAsia="Arial" w:hAnsi="Arial" w:cs="Arial"/>
        </w:rPr>
        <w:t>● Burimet natyrore të qarkut, përfshirë mineralet, ujërat, hidrocentralet, liqenin dhe potencialet turistike, u trajtuan si asete që duhet të lidhen më qartë me përfitime financiare për komunitetet vendore.</w:t>
      </w:r>
    </w:p>
    <w:p w14:paraId="00000038" w14:textId="77777777" w:rsidR="00422DD0" w:rsidRDefault="00000000">
      <w:pPr>
        <w:spacing w:after="0" w:line="252" w:lineRule="auto"/>
        <w:jc w:val="both"/>
        <w:rPr>
          <w:rFonts w:ascii="Arial" w:eastAsia="Arial" w:hAnsi="Arial" w:cs="Arial"/>
        </w:rPr>
      </w:pPr>
      <w:r>
        <w:rPr>
          <w:rFonts w:ascii="Arial" w:eastAsia="Arial" w:hAnsi="Arial" w:cs="Arial"/>
        </w:rPr>
        <w:t>● Autonomia financiare shihet si kusht për shërbime më të mira, por ajo duhet të shoqërohet me kapacitete administrative, transparencë dhe përgjegjësi në përdorimin e fondeve.</w:t>
      </w:r>
    </w:p>
    <w:p w14:paraId="00000039" w14:textId="77777777" w:rsidR="00422DD0" w:rsidRDefault="00422DD0">
      <w:pPr>
        <w:spacing w:before="40" w:after="0" w:line="252" w:lineRule="auto"/>
        <w:jc w:val="both"/>
        <w:rPr>
          <w:rFonts w:ascii="Arial" w:eastAsia="Arial" w:hAnsi="Arial" w:cs="Arial"/>
          <w:b/>
          <w:bCs/>
          <w:color w:val="2E5090"/>
          <w:sz w:val="24"/>
          <w:szCs w:val="24"/>
        </w:rPr>
      </w:pPr>
    </w:p>
    <w:p w14:paraId="0000003A" w14:textId="77777777" w:rsidR="00422DD0" w:rsidRDefault="00000000">
      <w:pPr>
        <w:spacing w:before="40" w:after="0" w:line="252" w:lineRule="auto"/>
        <w:jc w:val="both"/>
        <w:rPr>
          <w:rFonts w:ascii="Arial" w:eastAsia="Arial" w:hAnsi="Arial" w:cs="Arial"/>
        </w:rPr>
      </w:pPr>
      <w:r>
        <w:rPr>
          <w:rFonts w:ascii="Arial" w:eastAsia="Arial" w:hAnsi="Arial" w:cs="Arial"/>
          <w:b/>
          <w:bCs/>
          <w:color w:val="2E5090"/>
          <w:sz w:val="24"/>
          <w:szCs w:val="24"/>
        </w:rPr>
        <w:t>Gjetje dytësore</w:t>
      </w:r>
    </w:p>
    <w:p w14:paraId="0000003B" w14:textId="77777777" w:rsidR="00422DD0" w:rsidRDefault="00000000">
      <w:pPr>
        <w:spacing w:after="0" w:line="252" w:lineRule="auto"/>
        <w:jc w:val="both"/>
        <w:rPr>
          <w:rFonts w:ascii="Arial" w:eastAsia="Arial" w:hAnsi="Arial" w:cs="Arial"/>
        </w:rPr>
      </w:pPr>
      <w:r>
        <w:rPr>
          <w:rFonts w:ascii="Arial" w:eastAsia="Arial" w:hAnsi="Arial" w:cs="Arial"/>
        </w:rPr>
        <w:t>● U kërkua një formulë financimi me komponentë të posaçëm për sipërfaqen, lartësinë, distancën, ruralitetin, kufirin, sezonin turistik, shpopullimin dhe koston reale të aksesit.</w:t>
      </w:r>
    </w:p>
    <w:p w14:paraId="0000003C" w14:textId="77777777" w:rsidR="00422DD0" w:rsidRDefault="00000000">
      <w:pPr>
        <w:spacing w:after="0" w:line="252" w:lineRule="auto"/>
        <w:jc w:val="both"/>
        <w:rPr>
          <w:rFonts w:ascii="Arial" w:eastAsia="Arial" w:hAnsi="Arial" w:cs="Arial"/>
        </w:rPr>
      </w:pPr>
      <w:r>
        <w:rPr>
          <w:rFonts w:ascii="Arial" w:eastAsia="Arial" w:hAnsi="Arial" w:cs="Arial"/>
        </w:rPr>
        <w:t>● Renta minerare dhe të ardhurat nga shfrytëzimi i burimeve natyrore duhet të jenë më të dukshme dhe më të lidhura me investimet në territorin ku gjenerohen këto burime.</w:t>
      </w:r>
    </w:p>
    <w:p w14:paraId="0000003D" w14:textId="77777777" w:rsidR="00422DD0" w:rsidRDefault="00000000">
      <w:pPr>
        <w:spacing w:after="0" w:line="252" w:lineRule="auto"/>
        <w:jc w:val="both"/>
        <w:rPr>
          <w:rFonts w:ascii="Arial" w:eastAsia="Arial" w:hAnsi="Arial" w:cs="Arial"/>
        </w:rPr>
      </w:pPr>
      <w:r>
        <w:rPr>
          <w:rFonts w:ascii="Arial" w:eastAsia="Arial" w:hAnsi="Arial" w:cs="Arial"/>
        </w:rPr>
        <w:t>● U ngrit nevoja që të shqyrtohen mekanizma për rikthimin e një pjese të përfitimeve nga hidrocentralet, liqeni, infrastruktura rrugore dhe asetet natyrore në buxhetet vendore të qarkut.</w:t>
      </w:r>
    </w:p>
    <w:p w14:paraId="0000003E" w14:textId="77777777" w:rsidR="00422DD0" w:rsidRDefault="00000000">
      <w:pPr>
        <w:spacing w:after="0" w:line="252" w:lineRule="auto"/>
        <w:jc w:val="both"/>
        <w:rPr>
          <w:rFonts w:ascii="Arial" w:eastAsia="Arial" w:hAnsi="Arial" w:cs="Arial"/>
        </w:rPr>
      </w:pPr>
      <w:r>
        <w:rPr>
          <w:rFonts w:ascii="Arial" w:eastAsia="Arial" w:hAnsi="Arial" w:cs="Arial"/>
        </w:rPr>
        <w:t>● Taksa e pronës, regjistrimi i pronave dhe përmirësimi i bazës fiskale vendore u lidhën me mundësinë për të rritur të ardhurat dhe për të forcuar pavarësinë financiare të bashkive.</w:t>
      </w:r>
    </w:p>
    <w:p w14:paraId="0000003F" w14:textId="77777777" w:rsidR="00422DD0" w:rsidRDefault="00000000">
      <w:pPr>
        <w:spacing w:after="0" w:line="252" w:lineRule="auto"/>
        <w:jc w:val="both"/>
        <w:rPr>
          <w:rFonts w:ascii="Arial" w:eastAsia="Arial" w:hAnsi="Arial" w:cs="Arial"/>
        </w:rPr>
      </w:pPr>
      <w:r>
        <w:rPr>
          <w:rFonts w:ascii="Arial" w:eastAsia="Arial" w:hAnsi="Arial" w:cs="Arial"/>
        </w:rPr>
        <w:t>● Për bashkitë me kapacitet të kufizuar fiskal u propozua mbështetje më e fortë nga buxheti qendror, përmes granteve, fondeve të barazimit dhe paketave të posaçme për zonat malore.</w:t>
      </w:r>
    </w:p>
    <w:p w14:paraId="00000040" w14:textId="77777777" w:rsidR="00422DD0" w:rsidRDefault="00422DD0">
      <w:pPr>
        <w:spacing w:after="60" w:line="252" w:lineRule="auto"/>
        <w:jc w:val="both"/>
        <w:rPr>
          <w:rFonts w:ascii="Arial" w:eastAsia="Arial" w:hAnsi="Arial" w:cs="Arial"/>
        </w:rPr>
      </w:pPr>
    </w:p>
    <w:p w14:paraId="00000041" w14:textId="77777777" w:rsidR="00422DD0" w:rsidRDefault="00000000">
      <w:pPr>
        <w:pStyle w:val="Heading1"/>
        <w:keepNext w:val="0"/>
        <w:keepLines w:val="0"/>
        <w:pBdr>
          <w:top w:val="nil"/>
          <w:left w:val="nil"/>
          <w:bottom w:val="nil"/>
          <w:right w:val="nil"/>
          <w:between w:val="nil"/>
        </w:pBdr>
        <w:shd w:val="clear" w:color="auto" w:fill="1F3864"/>
        <w:spacing w:before="320" w:after="160" w:line="240" w:lineRule="auto"/>
        <w:ind w:left="200" w:right="200"/>
        <w:jc w:val="both"/>
        <w:rPr>
          <w:rFonts w:ascii="Arial" w:eastAsia="Arial" w:hAnsi="Arial" w:cs="Arial"/>
          <w:color w:val="FFFFFF"/>
          <w:sz w:val="26"/>
          <w:szCs w:val="26"/>
        </w:rPr>
      </w:pPr>
      <w:bookmarkStart w:id="9" w:name="_heading=h.lbjrpwly3anc" w:colFirst="0" w:colLast="0"/>
      <w:bookmarkEnd w:id="9"/>
      <w:r>
        <w:rPr>
          <w:rFonts w:ascii="Arial" w:eastAsia="Arial" w:hAnsi="Arial" w:cs="Arial"/>
          <w:color w:val="FFFFFF"/>
          <w:sz w:val="26"/>
          <w:szCs w:val="26"/>
        </w:rPr>
        <w:t>6. Transparenca dhe llogaridhënia</w:t>
      </w:r>
    </w:p>
    <w:p w14:paraId="00000042" w14:textId="77777777" w:rsidR="00422DD0" w:rsidRDefault="00000000">
      <w:pPr>
        <w:pStyle w:val="Heading2"/>
        <w:keepNext w:val="0"/>
        <w:keepLines w:val="0"/>
        <w:pBdr>
          <w:top w:val="nil"/>
          <w:left w:val="nil"/>
          <w:bottom w:val="single" w:sz="4" w:space="4" w:color="2E5090"/>
          <w:right w:val="nil"/>
          <w:between w:val="nil"/>
        </w:pBdr>
        <w:spacing w:before="240" w:after="100" w:line="240" w:lineRule="auto"/>
        <w:jc w:val="both"/>
        <w:rPr>
          <w:rFonts w:ascii="Arial" w:eastAsia="Arial" w:hAnsi="Arial" w:cs="Arial"/>
          <w:color w:val="2E5090"/>
          <w:sz w:val="24"/>
          <w:szCs w:val="24"/>
        </w:rPr>
      </w:pPr>
      <w:bookmarkStart w:id="10" w:name="_heading=h.xs9wdbqjoiro" w:colFirst="0" w:colLast="0"/>
      <w:bookmarkEnd w:id="10"/>
      <w:r>
        <w:rPr>
          <w:rFonts w:ascii="Arial" w:eastAsia="Arial" w:hAnsi="Arial" w:cs="Arial"/>
          <w:color w:val="2E5090"/>
          <w:sz w:val="24"/>
          <w:szCs w:val="24"/>
        </w:rPr>
        <w:t>Gjetje kryesore</w:t>
      </w:r>
    </w:p>
    <w:p w14:paraId="00000043" w14:textId="77777777" w:rsidR="00422DD0" w:rsidRDefault="00000000">
      <w:pPr>
        <w:spacing w:after="0" w:line="252" w:lineRule="auto"/>
        <w:jc w:val="both"/>
        <w:rPr>
          <w:rFonts w:ascii="Arial" w:eastAsia="Arial" w:hAnsi="Arial" w:cs="Arial"/>
        </w:rPr>
      </w:pPr>
      <w:r>
        <w:rPr>
          <w:rFonts w:ascii="Arial" w:eastAsia="Arial" w:hAnsi="Arial" w:cs="Arial"/>
        </w:rPr>
        <w:t>● Qytetari ka nevojë për një adresë të qartë përgjegjësie për çdo shërbim: kush vendos, kush financon, kush zbaton dhe kush mban përgjegjësi për mungesën ose cilësinë e shërbimit.</w:t>
      </w:r>
    </w:p>
    <w:p w14:paraId="00000044" w14:textId="77777777" w:rsidR="00422DD0" w:rsidRDefault="00000000">
      <w:pPr>
        <w:spacing w:after="0" w:line="252" w:lineRule="auto"/>
        <w:jc w:val="both"/>
        <w:rPr>
          <w:rFonts w:ascii="Arial" w:eastAsia="Arial" w:hAnsi="Arial" w:cs="Arial"/>
        </w:rPr>
      </w:pPr>
      <w:r>
        <w:rPr>
          <w:rFonts w:ascii="Arial" w:eastAsia="Arial" w:hAnsi="Arial" w:cs="Arial"/>
        </w:rPr>
        <w:t>● Llogaridhënia dobësohet kur njësitë administrative kanë rol të kufizuar dhe kur qytetarët nuk kanë përfaqësim të drejtpërdrejtë ose mekanizma të qartë për të ndikuar prioritetet vendore.</w:t>
      </w:r>
    </w:p>
    <w:p w14:paraId="00000045" w14:textId="77777777" w:rsidR="00422DD0" w:rsidRDefault="00000000">
      <w:pPr>
        <w:spacing w:after="0" w:line="252" w:lineRule="auto"/>
        <w:jc w:val="both"/>
        <w:rPr>
          <w:rFonts w:ascii="Arial" w:eastAsia="Arial" w:hAnsi="Arial" w:cs="Arial"/>
        </w:rPr>
      </w:pPr>
      <w:r>
        <w:rPr>
          <w:rFonts w:ascii="Arial" w:eastAsia="Arial" w:hAnsi="Arial" w:cs="Arial"/>
        </w:rPr>
        <w:t>● Transparenca financiare duhet të lidhë më qartë të ardhurat vendore, grantet, të ardhurat nga burimet natyrore dhe investimet konkrete në çdo bashki dhe njësi administrative.</w:t>
      </w:r>
    </w:p>
    <w:p w14:paraId="00000046" w14:textId="77777777" w:rsidR="00422DD0" w:rsidRDefault="00000000">
      <w:pPr>
        <w:spacing w:after="0" w:line="252" w:lineRule="auto"/>
        <w:jc w:val="both"/>
        <w:rPr>
          <w:rFonts w:ascii="Arial" w:eastAsia="Arial" w:hAnsi="Arial" w:cs="Arial"/>
        </w:rPr>
      </w:pPr>
      <w:r>
        <w:rPr>
          <w:rFonts w:ascii="Arial" w:eastAsia="Arial" w:hAnsi="Arial" w:cs="Arial"/>
        </w:rPr>
        <w:t>● Konsultimi publik u vlerësua si mekanizëm i nevojshëm, por u theksua se mendimet e qytetarëve duhet të reflektohen realisht në konkluzionet dhe vendimmarrjen e mëtejshme.</w:t>
      </w:r>
    </w:p>
    <w:p w14:paraId="00000047" w14:textId="77777777" w:rsidR="00422DD0" w:rsidRDefault="00422DD0">
      <w:pPr>
        <w:spacing w:after="0" w:line="252" w:lineRule="auto"/>
        <w:jc w:val="both"/>
        <w:rPr>
          <w:rFonts w:ascii="Arial" w:eastAsia="Arial" w:hAnsi="Arial" w:cs="Arial"/>
        </w:rPr>
      </w:pPr>
    </w:p>
    <w:p w14:paraId="00000048" w14:textId="77777777" w:rsidR="00422DD0" w:rsidRDefault="00000000">
      <w:pPr>
        <w:spacing w:before="40" w:after="0" w:line="252" w:lineRule="auto"/>
        <w:jc w:val="both"/>
        <w:rPr>
          <w:rFonts w:ascii="Arial" w:eastAsia="Arial" w:hAnsi="Arial" w:cs="Arial"/>
        </w:rPr>
      </w:pPr>
      <w:r>
        <w:rPr>
          <w:rFonts w:ascii="Arial" w:eastAsia="Arial" w:hAnsi="Arial" w:cs="Arial"/>
          <w:b/>
          <w:bCs/>
          <w:color w:val="2E5090"/>
          <w:sz w:val="24"/>
          <w:szCs w:val="24"/>
        </w:rPr>
        <w:t>Gjetje dytësore</w:t>
      </w:r>
    </w:p>
    <w:p w14:paraId="00000049" w14:textId="77777777" w:rsidR="00422DD0" w:rsidRDefault="00000000">
      <w:pPr>
        <w:spacing w:after="0" w:line="252" w:lineRule="auto"/>
        <w:jc w:val="both"/>
        <w:rPr>
          <w:rFonts w:ascii="Arial" w:eastAsia="Arial" w:hAnsi="Arial" w:cs="Arial"/>
        </w:rPr>
      </w:pPr>
      <w:r>
        <w:rPr>
          <w:rFonts w:ascii="Arial" w:eastAsia="Arial" w:hAnsi="Arial" w:cs="Arial"/>
        </w:rPr>
        <w:t>● Përfaqësimi në këshillat bashkiakë dhe roli i administratorëve janë hallka kyçe për të matur llogaridhënien reale në nivel komuniteti.</w:t>
      </w:r>
    </w:p>
    <w:p w14:paraId="0000004A" w14:textId="77777777" w:rsidR="00422DD0" w:rsidRDefault="00000000">
      <w:pPr>
        <w:spacing w:after="0" w:line="252" w:lineRule="auto"/>
        <w:jc w:val="both"/>
        <w:rPr>
          <w:rFonts w:ascii="Arial" w:eastAsia="Arial" w:hAnsi="Arial" w:cs="Arial"/>
        </w:rPr>
      </w:pPr>
      <w:r>
        <w:rPr>
          <w:rFonts w:ascii="Arial" w:eastAsia="Arial" w:hAnsi="Arial" w:cs="Arial"/>
        </w:rPr>
        <w:t>● Qytetarët kërkojnë më shumë informacion mbi mënyrën si përcaktohen prioritetet për investime midis qytetit, fshatrave dhe zonave të thella.</w:t>
      </w:r>
    </w:p>
    <w:p w14:paraId="0000004B" w14:textId="77777777" w:rsidR="00422DD0" w:rsidRDefault="00000000">
      <w:pPr>
        <w:spacing w:after="0" w:line="252" w:lineRule="auto"/>
        <w:jc w:val="both"/>
        <w:rPr>
          <w:rFonts w:ascii="Arial" w:eastAsia="Arial" w:hAnsi="Arial" w:cs="Arial"/>
        </w:rPr>
      </w:pPr>
      <w:r>
        <w:rPr>
          <w:rFonts w:ascii="Arial" w:eastAsia="Arial" w:hAnsi="Arial" w:cs="Arial"/>
        </w:rPr>
        <w:t>● Të dhënat për rentën minerare, hidrocentralet, taksat, tarifat dhe fondet e investimeve duhet të jenë më të plota, më të kuptueshme dhe më të aksesueshme për publikun.</w:t>
      </w:r>
    </w:p>
    <w:p w14:paraId="0000004C" w14:textId="77777777" w:rsidR="00422DD0" w:rsidRDefault="00000000">
      <w:pPr>
        <w:spacing w:after="0" w:line="252" w:lineRule="auto"/>
        <w:jc w:val="both"/>
        <w:rPr>
          <w:rFonts w:ascii="Arial" w:eastAsia="Arial" w:hAnsi="Arial" w:cs="Arial"/>
        </w:rPr>
      </w:pPr>
      <w:r>
        <w:rPr>
          <w:rFonts w:ascii="Arial" w:eastAsia="Arial" w:hAnsi="Arial" w:cs="Arial"/>
        </w:rPr>
        <w:t>● Diaspora u përmend si aktor i rëndësishëm ekonomik dhe shoqëror për qarkun, ndaj angazhimi i saj kërkon kanale më të qarta komunikimi, transparencë dhe mekanizma bashkëpunimi me pushtetin vendor.</w:t>
      </w:r>
    </w:p>
    <w:p w14:paraId="0000004D" w14:textId="77777777" w:rsidR="00422DD0" w:rsidRDefault="00000000">
      <w:pPr>
        <w:spacing w:after="0" w:line="252" w:lineRule="auto"/>
        <w:jc w:val="both"/>
        <w:rPr>
          <w:rFonts w:ascii="Arial" w:eastAsia="Arial" w:hAnsi="Arial" w:cs="Arial"/>
        </w:rPr>
      </w:pPr>
      <w:r>
        <w:rPr>
          <w:rFonts w:ascii="Arial" w:eastAsia="Arial" w:hAnsi="Arial" w:cs="Arial"/>
        </w:rPr>
        <w:lastRenderedPageBreak/>
        <w:t>● Për zonat kufitare dhe malore, llogaridhënia duhet të matet jo vetëm me tregues financiarë mesatarë, por edhe me ndikimin real te banorët që jetojnë më larg qendrave administrative.</w:t>
      </w:r>
    </w:p>
    <w:p w14:paraId="0000004E" w14:textId="77777777" w:rsidR="00422DD0" w:rsidRDefault="00422DD0">
      <w:pPr>
        <w:spacing w:after="0" w:line="252" w:lineRule="auto"/>
        <w:jc w:val="both"/>
        <w:rPr>
          <w:rFonts w:ascii="Arial" w:eastAsia="Arial" w:hAnsi="Arial" w:cs="Arial"/>
        </w:rPr>
      </w:pPr>
    </w:p>
    <w:p w14:paraId="0000004F" w14:textId="77777777" w:rsidR="00422DD0" w:rsidRDefault="00422DD0">
      <w:pPr>
        <w:spacing w:after="60" w:line="252" w:lineRule="auto"/>
        <w:ind w:left="90" w:hanging="150"/>
        <w:jc w:val="both"/>
        <w:rPr>
          <w:rFonts w:ascii="Arial" w:eastAsia="Arial" w:hAnsi="Arial" w:cs="Arial"/>
        </w:rPr>
      </w:pPr>
    </w:p>
    <w:p w14:paraId="00000050" w14:textId="77777777" w:rsidR="00422DD0" w:rsidRDefault="00422DD0">
      <w:pPr>
        <w:spacing w:after="60" w:line="252" w:lineRule="auto"/>
        <w:ind w:left="357" w:hanging="142"/>
        <w:jc w:val="both"/>
        <w:rPr>
          <w:rFonts w:ascii="Arial" w:eastAsia="Arial" w:hAnsi="Arial" w:cs="Arial"/>
        </w:rPr>
      </w:pPr>
    </w:p>
    <w:p w14:paraId="00000051" w14:textId="77777777" w:rsidR="00422DD0" w:rsidRDefault="00422DD0">
      <w:pPr>
        <w:spacing w:after="60" w:line="252" w:lineRule="auto"/>
        <w:ind w:left="357" w:hanging="142"/>
        <w:jc w:val="both"/>
        <w:rPr>
          <w:rFonts w:ascii="Arial" w:eastAsia="Arial" w:hAnsi="Arial" w:cs="Arial"/>
        </w:rPr>
      </w:pPr>
    </w:p>
    <w:p w14:paraId="00000052" w14:textId="77777777" w:rsidR="00422DD0" w:rsidRDefault="00422DD0">
      <w:pPr>
        <w:spacing w:after="60" w:line="252" w:lineRule="auto"/>
        <w:ind w:left="357" w:hanging="142"/>
        <w:jc w:val="both"/>
        <w:rPr>
          <w:rFonts w:ascii="Arial" w:eastAsia="Arial" w:hAnsi="Arial" w:cs="Arial"/>
        </w:rPr>
      </w:pPr>
    </w:p>
    <w:p w14:paraId="00000053" w14:textId="77777777" w:rsidR="00422DD0" w:rsidRDefault="00422DD0">
      <w:pPr>
        <w:spacing w:after="60" w:line="252" w:lineRule="auto"/>
        <w:ind w:left="357" w:hanging="142"/>
        <w:jc w:val="both"/>
        <w:rPr>
          <w:rFonts w:ascii="Arial" w:eastAsia="Arial" w:hAnsi="Arial" w:cs="Arial"/>
        </w:rPr>
      </w:pPr>
    </w:p>
    <w:p w14:paraId="00000054" w14:textId="77777777" w:rsidR="00422DD0" w:rsidRDefault="00422DD0">
      <w:pPr>
        <w:spacing w:after="60" w:line="252" w:lineRule="auto"/>
        <w:ind w:left="357" w:hanging="142"/>
        <w:jc w:val="both"/>
        <w:rPr>
          <w:rFonts w:ascii="Arial" w:eastAsia="Arial" w:hAnsi="Arial" w:cs="Arial"/>
        </w:rPr>
      </w:pPr>
    </w:p>
    <w:p w14:paraId="00000055" w14:textId="77777777" w:rsidR="00422DD0" w:rsidRDefault="00422DD0">
      <w:pPr>
        <w:spacing w:after="60" w:line="252" w:lineRule="auto"/>
        <w:ind w:left="357" w:hanging="142"/>
        <w:jc w:val="both"/>
        <w:rPr>
          <w:rFonts w:ascii="Arial" w:eastAsia="Arial" w:hAnsi="Arial" w:cs="Arial"/>
        </w:rPr>
      </w:pPr>
    </w:p>
    <w:p w14:paraId="00000056" w14:textId="77777777" w:rsidR="00422DD0" w:rsidRDefault="00422DD0">
      <w:pPr>
        <w:spacing w:after="60" w:line="252" w:lineRule="auto"/>
        <w:ind w:left="357" w:hanging="142"/>
        <w:jc w:val="both"/>
        <w:rPr>
          <w:rFonts w:ascii="Arial" w:eastAsia="Arial" w:hAnsi="Arial" w:cs="Arial"/>
        </w:rPr>
      </w:pPr>
    </w:p>
    <w:p w14:paraId="00000057" w14:textId="77777777" w:rsidR="00422DD0" w:rsidRDefault="00422DD0">
      <w:pPr>
        <w:spacing w:after="60" w:line="252" w:lineRule="auto"/>
        <w:ind w:left="357" w:hanging="142"/>
        <w:jc w:val="both"/>
        <w:rPr>
          <w:rFonts w:ascii="Arial" w:eastAsia="Arial" w:hAnsi="Arial" w:cs="Arial"/>
        </w:rPr>
      </w:pPr>
    </w:p>
    <w:p w14:paraId="00000058" w14:textId="77777777" w:rsidR="00422DD0" w:rsidRDefault="00422DD0">
      <w:pPr>
        <w:spacing w:after="60" w:line="252" w:lineRule="auto"/>
        <w:ind w:left="357" w:hanging="142"/>
        <w:jc w:val="both"/>
        <w:rPr>
          <w:rFonts w:ascii="Arial" w:eastAsia="Arial" w:hAnsi="Arial" w:cs="Arial"/>
        </w:rPr>
      </w:pPr>
    </w:p>
    <w:p w14:paraId="00000059" w14:textId="77777777" w:rsidR="00422DD0" w:rsidRDefault="00422DD0">
      <w:pPr>
        <w:spacing w:after="60" w:line="252" w:lineRule="auto"/>
        <w:ind w:left="357" w:hanging="142"/>
        <w:jc w:val="both"/>
        <w:rPr>
          <w:rFonts w:ascii="Arial" w:eastAsia="Arial" w:hAnsi="Arial" w:cs="Arial"/>
        </w:rPr>
      </w:pPr>
    </w:p>
    <w:p w14:paraId="0000005A" w14:textId="77777777" w:rsidR="00422DD0" w:rsidRDefault="00422DD0">
      <w:pPr>
        <w:spacing w:after="60" w:line="252" w:lineRule="auto"/>
        <w:ind w:left="357" w:hanging="142"/>
        <w:jc w:val="both"/>
        <w:rPr>
          <w:rFonts w:ascii="Arial" w:eastAsia="Arial" w:hAnsi="Arial" w:cs="Arial"/>
        </w:rPr>
      </w:pPr>
    </w:p>
    <w:p w14:paraId="0000005B" w14:textId="77777777" w:rsidR="00422DD0" w:rsidRDefault="00422DD0">
      <w:pPr>
        <w:spacing w:after="60" w:line="252" w:lineRule="auto"/>
        <w:ind w:left="357" w:hanging="142"/>
        <w:jc w:val="both"/>
        <w:rPr>
          <w:rFonts w:ascii="Arial" w:eastAsia="Arial" w:hAnsi="Arial" w:cs="Arial"/>
        </w:rPr>
      </w:pPr>
    </w:p>
    <w:p w14:paraId="0000005C" w14:textId="77777777" w:rsidR="00422DD0" w:rsidRDefault="00422DD0">
      <w:pPr>
        <w:spacing w:after="60" w:line="252" w:lineRule="auto"/>
        <w:ind w:left="357" w:hanging="142"/>
        <w:jc w:val="both"/>
        <w:rPr>
          <w:rFonts w:ascii="Arial" w:eastAsia="Arial" w:hAnsi="Arial" w:cs="Arial"/>
        </w:rPr>
      </w:pPr>
    </w:p>
    <w:p w14:paraId="0000005D" w14:textId="77777777" w:rsidR="00422DD0" w:rsidRDefault="00422DD0">
      <w:pPr>
        <w:spacing w:after="60" w:line="252" w:lineRule="auto"/>
        <w:ind w:left="357" w:hanging="142"/>
        <w:jc w:val="both"/>
        <w:rPr>
          <w:rFonts w:ascii="Arial" w:eastAsia="Arial" w:hAnsi="Arial" w:cs="Arial"/>
        </w:rPr>
      </w:pPr>
    </w:p>
    <w:p w14:paraId="0000005E" w14:textId="77777777" w:rsidR="00422DD0" w:rsidRDefault="00422DD0">
      <w:pPr>
        <w:spacing w:after="60" w:line="252" w:lineRule="auto"/>
        <w:jc w:val="both"/>
        <w:rPr>
          <w:rFonts w:ascii="Arial" w:eastAsia="Arial" w:hAnsi="Arial" w:cs="Arial"/>
        </w:rPr>
      </w:pPr>
    </w:p>
    <w:p w14:paraId="0000005F" w14:textId="77777777" w:rsidR="00422DD0" w:rsidRDefault="00422DD0">
      <w:pPr>
        <w:spacing w:after="60" w:line="252" w:lineRule="auto"/>
        <w:jc w:val="both"/>
        <w:rPr>
          <w:rFonts w:ascii="Arial" w:eastAsia="Arial" w:hAnsi="Arial" w:cs="Arial"/>
        </w:rPr>
      </w:pPr>
    </w:p>
    <w:p w14:paraId="00000060" w14:textId="77777777" w:rsidR="00422DD0" w:rsidRDefault="00422DD0">
      <w:pPr>
        <w:spacing w:after="60" w:line="252" w:lineRule="auto"/>
        <w:jc w:val="both"/>
        <w:rPr>
          <w:rFonts w:ascii="Arial" w:eastAsia="Arial" w:hAnsi="Arial" w:cs="Arial"/>
        </w:rPr>
      </w:pPr>
    </w:p>
    <w:p w14:paraId="00000061" w14:textId="77777777" w:rsidR="00422DD0" w:rsidRDefault="00422DD0">
      <w:pPr>
        <w:spacing w:after="60" w:line="252" w:lineRule="auto"/>
        <w:jc w:val="both"/>
        <w:rPr>
          <w:rFonts w:ascii="Arial" w:eastAsia="Arial" w:hAnsi="Arial" w:cs="Arial"/>
        </w:rPr>
      </w:pPr>
    </w:p>
    <w:p w14:paraId="00000062" w14:textId="77777777" w:rsidR="00422DD0" w:rsidRDefault="00422DD0">
      <w:pPr>
        <w:spacing w:after="60" w:line="252" w:lineRule="auto"/>
        <w:jc w:val="both"/>
        <w:rPr>
          <w:rFonts w:ascii="Arial" w:eastAsia="Arial" w:hAnsi="Arial" w:cs="Arial"/>
        </w:rPr>
      </w:pPr>
    </w:p>
    <w:p w14:paraId="00000063" w14:textId="77777777" w:rsidR="00422DD0" w:rsidRDefault="00422DD0">
      <w:pPr>
        <w:spacing w:after="60" w:line="252" w:lineRule="auto"/>
        <w:jc w:val="both"/>
        <w:rPr>
          <w:rFonts w:ascii="Arial" w:eastAsia="Arial" w:hAnsi="Arial" w:cs="Arial"/>
        </w:rPr>
      </w:pPr>
    </w:p>
    <w:p w14:paraId="00000064" w14:textId="77777777" w:rsidR="00422DD0" w:rsidRDefault="00422DD0">
      <w:pPr>
        <w:spacing w:after="60" w:line="252" w:lineRule="auto"/>
        <w:jc w:val="both"/>
        <w:rPr>
          <w:rFonts w:ascii="Arial" w:eastAsia="Arial" w:hAnsi="Arial" w:cs="Arial"/>
        </w:rPr>
      </w:pPr>
    </w:p>
    <w:p w14:paraId="00000065" w14:textId="77777777" w:rsidR="00422DD0" w:rsidRDefault="00422DD0">
      <w:pPr>
        <w:spacing w:after="60" w:line="252" w:lineRule="auto"/>
        <w:jc w:val="both"/>
        <w:rPr>
          <w:rFonts w:ascii="Arial" w:eastAsia="Arial" w:hAnsi="Arial" w:cs="Arial"/>
        </w:rPr>
      </w:pPr>
    </w:p>
    <w:p w14:paraId="00000066" w14:textId="77777777" w:rsidR="00422DD0" w:rsidRDefault="00422DD0">
      <w:pPr>
        <w:spacing w:after="60" w:line="252" w:lineRule="auto"/>
        <w:jc w:val="both"/>
        <w:rPr>
          <w:rFonts w:ascii="Arial" w:eastAsia="Arial" w:hAnsi="Arial" w:cs="Arial"/>
        </w:rPr>
      </w:pPr>
    </w:p>
    <w:p w14:paraId="00000067" w14:textId="77777777" w:rsidR="00422DD0" w:rsidRDefault="00422DD0">
      <w:pPr>
        <w:spacing w:after="60" w:line="252" w:lineRule="auto"/>
        <w:jc w:val="both"/>
        <w:rPr>
          <w:rFonts w:ascii="Arial" w:eastAsia="Arial" w:hAnsi="Arial" w:cs="Arial"/>
        </w:rPr>
      </w:pPr>
    </w:p>
    <w:p w14:paraId="00000068" w14:textId="77777777" w:rsidR="00422DD0" w:rsidRDefault="00422DD0">
      <w:pPr>
        <w:spacing w:after="60" w:line="252" w:lineRule="auto"/>
        <w:jc w:val="both"/>
        <w:rPr>
          <w:rFonts w:ascii="Arial" w:eastAsia="Arial" w:hAnsi="Arial" w:cs="Arial"/>
        </w:rPr>
      </w:pPr>
    </w:p>
    <w:p w14:paraId="00000069" w14:textId="77777777" w:rsidR="00422DD0" w:rsidRDefault="00422DD0">
      <w:pPr>
        <w:spacing w:after="60" w:line="252" w:lineRule="auto"/>
        <w:jc w:val="both"/>
        <w:rPr>
          <w:rFonts w:ascii="Arial" w:eastAsia="Arial" w:hAnsi="Arial" w:cs="Arial"/>
        </w:rPr>
      </w:pPr>
    </w:p>
    <w:p w14:paraId="0000006A" w14:textId="77777777" w:rsidR="00422DD0" w:rsidRDefault="00422DD0">
      <w:pPr>
        <w:spacing w:after="60" w:line="252" w:lineRule="auto"/>
        <w:jc w:val="both"/>
        <w:rPr>
          <w:rFonts w:ascii="Arial" w:eastAsia="Arial" w:hAnsi="Arial" w:cs="Arial"/>
        </w:rPr>
      </w:pPr>
    </w:p>
    <w:p w14:paraId="0000006B" w14:textId="77777777" w:rsidR="00422DD0" w:rsidRDefault="00422DD0">
      <w:pPr>
        <w:spacing w:after="60" w:line="252" w:lineRule="auto"/>
        <w:jc w:val="both"/>
        <w:rPr>
          <w:rFonts w:ascii="Arial" w:eastAsia="Arial" w:hAnsi="Arial" w:cs="Arial"/>
        </w:rPr>
      </w:pPr>
    </w:p>
    <w:p w14:paraId="0000006C" w14:textId="77777777" w:rsidR="00422DD0" w:rsidRDefault="00422DD0">
      <w:pPr>
        <w:spacing w:after="60" w:line="252" w:lineRule="auto"/>
        <w:jc w:val="both"/>
        <w:rPr>
          <w:rFonts w:ascii="Arial" w:eastAsia="Arial" w:hAnsi="Arial" w:cs="Arial"/>
        </w:rPr>
      </w:pPr>
    </w:p>
    <w:p w14:paraId="0000006D" w14:textId="77777777" w:rsidR="00422DD0" w:rsidRDefault="00422DD0">
      <w:pPr>
        <w:pBdr>
          <w:top w:val="single" w:sz="4" w:space="0" w:color="BBBBBB"/>
        </w:pBdr>
        <w:spacing w:before="200" w:after="80" w:line="240" w:lineRule="auto"/>
        <w:jc w:val="both"/>
        <w:rPr>
          <w:rFonts w:ascii="Arial" w:eastAsia="Arial" w:hAnsi="Arial" w:cs="Arial"/>
        </w:rPr>
      </w:pPr>
    </w:p>
    <w:p w14:paraId="0000006E" w14:textId="77777777" w:rsidR="00422DD0" w:rsidRDefault="00000000">
      <w:pPr>
        <w:pBdr>
          <w:top w:val="single" w:sz="4" w:space="0" w:color="BBBBBB"/>
        </w:pBdr>
        <w:spacing w:before="200" w:after="80" w:line="240" w:lineRule="auto"/>
        <w:jc w:val="both"/>
        <w:rPr>
          <w:rFonts w:ascii="Arial" w:eastAsia="Arial" w:hAnsi="Arial" w:cs="Arial"/>
          <w:sz w:val="22"/>
          <w:szCs w:val="22"/>
        </w:rPr>
      </w:pPr>
      <w:r>
        <w:rPr>
          <w:rFonts w:ascii="Arial" w:eastAsia="Arial" w:hAnsi="Arial" w:cs="Arial"/>
          <w:b/>
          <w:bCs/>
          <w:color w:val="666666"/>
          <w:sz w:val="20"/>
          <w:szCs w:val="20"/>
        </w:rPr>
        <w:t>Shënim metodologjik</w:t>
      </w:r>
    </w:p>
    <w:p w14:paraId="0000006F" w14:textId="77777777" w:rsidR="00422DD0" w:rsidRDefault="00000000">
      <w:pPr>
        <w:spacing w:after="0" w:line="240" w:lineRule="auto"/>
        <w:jc w:val="both"/>
        <w:rPr>
          <w:rFonts w:ascii="Arial" w:eastAsia="Arial" w:hAnsi="Arial" w:cs="Arial"/>
        </w:rPr>
      </w:pPr>
      <w:r>
        <w:rPr>
          <w:rFonts w:ascii="Arial" w:eastAsia="Arial" w:hAnsi="Arial" w:cs="Arial"/>
          <w:color w:val="666666"/>
          <w:sz w:val="18"/>
          <w:szCs w:val="18"/>
        </w:rPr>
        <w:t xml:space="preserve">Ky dokument është hartuar mbi bazën e transskriptit të plotë të dëgjesës publike dhe përfaqëson të gjitha zërat e shprehura, duke ruajtur balancimin ndërmjet qasjeve divergjente. Ai nuk shpreh qëndrimin zyrtar të Komisionit, por dokumenton diversitetin e opinioneve të shprehura gjatë sesionit. Dëgjesa u moderua nga Eno Popi. Dëgjesa u regjistrua në tërësi. Transkripti i plotë dhe ky raport do të bëhen publike në faqen e reformës. </w:t>
      </w:r>
    </w:p>
    <w:sectPr w:rsidR="00422DD0">
      <w:headerReference w:type="default" r:id="rId7"/>
      <w:footerReference w:type="default" r:id="rId8"/>
      <w:pgSz w:w="12240" w:h="15840"/>
      <w:pgMar w:top="1440" w:right="1440" w:bottom="1440" w:left="1440" w:header="360" w:footer="3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73DFF" w14:textId="77777777" w:rsidR="001843E4" w:rsidRDefault="001843E4">
      <w:pPr>
        <w:spacing w:after="0" w:line="240" w:lineRule="auto"/>
      </w:pPr>
      <w:r>
        <w:separator/>
      </w:r>
    </w:p>
  </w:endnote>
  <w:endnote w:type="continuationSeparator" w:id="0">
    <w:p w14:paraId="730CE4D4" w14:textId="77777777" w:rsidR="001843E4" w:rsidRDefault="001843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93451369-A52E-4AAD-9AAB-04E30B86C99E}"/>
    <w:embedBold r:id="rId2" w:fontKey="{5D0D620C-EE87-40C2-88FA-AC939DE1EA9A}"/>
  </w:font>
  <w:font w:name="Calibri">
    <w:panose1 w:val="020F0502020204030204"/>
    <w:charset w:val="00"/>
    <w:family w:val="swiss"/>
    <w:pitch w:val="variable"/>
    <w:sig w:usb0="E4002EFF" w:usb1="C200247B" w:usb2="00000009" w:usb3="00000000" w:csb0="000001FF" w:csb1="00000000"/>
    <w:embedRegular r:id="rId3" w:fontKey="{302BF819-166B-42BC-BA3C-9F73890DA0D4}"/>
    <w:embedBold r:id="rId4" w:fontKey="{5C8DC27D-18DF-4239-80E4-5CD704A9DE79}"/>
    <w:embedItalic r:id="rId5" w:fontKey="{FDE8F983-1747-4D6E-9B43-857D7A5E8DBA}"/>
    <w:embedBoldItalic r:id="rId6" w:fontKey="{1BA76EEC-1FD3-44F6-A10E-8A68771C4506}"/>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7" w:fontKey="{2A92E9B4-9ED0-4D63-B047-D460B9460CA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2" w14:textId="19F00C25" w:rsidR="00422DD0" w:rsidRDefault="00000000">
    <w:pPr>
      <w:pBdr>
        <w:top w:val="single" w:sz="4" w:space="0" w:color="CCCCCC"/>
      </w:pBdr>
      <w:spacing w:after="0" w:line="240" w:lineRule="auto"/>
      <w:jc w:val="right"/>
      <w:rPr>
        <w:rFonts w:ascii="Arial" w:eastAsia="Arial" w:hAnsi="Arial" w:cs="Arial"/>
        <w:sz w:val="22"/>
        <w:szCs w:val="22"/>
      </w:rPr>
    </w:pPr>
    <w:r>
      <w:rPr>
        <w:rFonts w:ascii="Arial" w:eastAsia="Arial" w:hAnsi="Arial" w:cs="Arial"/>
        <w:color w:val="888888"/>
        <w:sz w:val="18"/>
        <w:szCs w:val="18"/>
      </w:rPr>
      <w:t xml:space="preserve">15 </w:t>
    </w:r>
    <w:proofErr w:type="gramStart"/>
    <w:r>
      <w:rPr>
        <w:rFonts w:ascii="Arial" w:eastAsia="Arial" w:hAnsi="Arial" w:cs="Arial"/>
        <w:color w:val="888888"/>
        <w:sz w:val="18"/>
        <w:szCs w:val="18"/>
      </w:rPr>
      <w:t>Maj  2026</w:t>
    </w:r>
    <w:proofErr w:type="gramEnd"/>
    <w:r>
      <w:rPr>
        <w:rFonts w:ascii="Arial" w:eastAsia="Arial" w:hAnsi="Arial" w:cs="Arial"/>
        <w:color w:val="888888"/>
        <w:sz w:val="18"/>
        <w:szCs w:val="18"/>
      </w:rPr>
      <w:t xml:space="preserve">  </w:t>
    </w:r>
    <w:proofErr w:type="gramStart"/>
    <w:r>
      <w:rPr>
        <w:rFonts w:ascii="Arial" w:eastAsia="Arial" w:hAnsi="Arial" w:cs="Arial"/>
        <w:color w:val="888888"/>
        <w:sz w:val="18"/>
        <w:szCs w:val="18"/>
      </w:rPr>
      <w:t>|  Fq</w:t>
    </w:r>
    <w:proofErr w:type="gramEnd"/>
    <w:r>
      <w:rPr>
        <w:rFonts w:ascii="Arial" w:eastAsia="Arial" w:hAnsi="Arial" w:cs="Arial"/>
        <w:color w:val="888888"/>
        <w:sz w:val="18"/>
        <w:szCs w:val="18"/>
      </w:rPr>
      <w:t xml:space="preserve">. </w:t>
    </w:r>
    <w:r>
      <w:rPr>
        <w:rFonts w:ascii="Arial" w:eastAsia="Arial" w:hAnsi="Arial" w:cs="Arial"/>
        <w:color w:val="888888"/>
        <w:sz w:val="18"/>
        <w:szCs w:val="18"/>
      </w:rPr>
      <w:fldChar w:fldCharType="begin"/>
    </w:r>
    <w:r>
      <w:rPr>
        <w:rFonts w:ascii="Arial" w:eastAsia="Arial" w:hAnsi="Arial" w:cs="Arial"/>
        <w:color w:val="888888"/>
        <w:sz w:val="18"/>
        <w:szCs w:val="18"/>
      </w:rPr>
      <w:instrText>PAGE</w:instrText>
    </w:r>
    <w:r>
      <w:rPr>
        <w:rFonts w:ascii="Arial" w:eastAsia="Arial" w:hAnsi="Arial" w:cs="Arial"/>
        <w:color w:val="888888"/>
        <w:sz w:val="18"/>
        <w:szCs w:val="18"/>
      </w:rPr>
      <w:fldChar w:fldCharType="separate"/>
    </w:r>
    <w:r w:rsidR="00565AEA">
      <w:rPr>
        <w:rFonts w:ascii="Arial" w:eastAsia="Arial" w:hAnsi="Arial" w:cs="Arial"/>
        <w:noProof/>
        <w:color w:val="888888"/>
        <w:sz w:val="18"/>
        <w:szCs w:val="18"/>
      </w:rPr>
      <w:t>1</w:t>
    </w:r>
    <w:r>
      <w:rPr>
        <w:rFonts w:ascii="Arial" w:eastAsia="Arial" w:hAnsi="Arial" w:cs="Arial"/>
        <w:color w:val="888888"/>
        <w:sz w:val="18"/>
        <w:szCs w:val="18"/>
      </w:rPr>
      <w:fldChar w:fldCharType="end"/>
    </w:r>
  </w:p>
  <w:p w14:paraId="00000073" w14:textId="77777777" w:rsidR="00422DD0" w:rsidRDefault="00422D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DA914" w14:textId="77777777" w:rsidR="001843E4" w:rsidRDefault="001843E4">
      <w:pPr>
        <w:spacing w:after="0" w:line="240" w:lineRule="auto"/>
      </w:pPr>
      <w:r>
        <w:separator/>
      </w:r>
    </w:p>
  </w:footnote>
  <w:footnote w:type="continuationSeparator" w:id="0">
    <w:p w14:paraId="421116CF" w14:textId="77777777" w:rsidR="001843E4" w:rsidRDefault="001843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0" w14:textId="77777777" w:rsidR="00422DD0" w:rsidRDefault="00000000">
    <w:pPr>
      <w:pBdr>
        <w:bottom w:val="single" w:sz="4" w:space="0" w:color="CCCCCC"/>
      </w:pBdr>
      <w:spacing w:after="0" w:line="240" w:lineRule="auto"/>
      <w:rPr>
        <w:rFonts w:ascii="Arial" w:eastAsia="Arial" w:hAnsi="Arial" w:cs="Arial"/>
        <w:sz w:val="22"/>
        <w:szCs w:val="22"/>
      </w:rPr>
    </w:pPr>
    <w:r>
      <w:rPr>
        <w:rFonts w:ascii="Arial" w:eastAsia="Arial" w:hAnsi="Arial" w:cs="Arial"/>
        <w:color w:val="777777"/>
        <w:sz w:val="18"/>
        <w:szCs w:val="18"/>
      </w:rPr>
      <w:t>Komisioni i Posaçëm Parlamentar për Reformën Administrative-</w:t>
    </w:r>
    <w:proofErr w:type="gramStart"/>
    <w:r>
      <w:rPr>
        <w:rFonts w:ascii="Arial" w:eastAsia="Arial" w:hAnsi="Arial" w:cs="Arial"/>
        <w:color w:val="777777"/>
        <w:sz w:val="18"/>
        <w:szCs w:val="18"/>
      </w:rPr>
      <w:t>Territoriale  |</w:t>
    </w:r>
    <w:proofErr w:type="gramEnd"/>
    <w:r>
      <w:rPr>
        <w:rFonts w:ascii="Arial" w:eastAsia="Arial" w:hAnsi="Arial" w:cs="Arial"/>
        <w:color w:val="777777"/>
        <w:sz w:val="18"/>
        <w:szCs w:val="18"/>
      </w:rPr>
      <w:t xml:space="preserve">  Dëgjesë Publike – Qarku Kukës</w:t>
    </w:r>
  </w:p>
  <w:p w14:paraId="00000071" w14:textId="77777777" w:rsidR="00422DD0" w:rsidRDefault="00422DD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TrueTypeFonts/>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DD0"/>
    <w:rsid w:val="001843E4"/>
    <w:rsid w:val="00422DD0"/>
    <w:rsid w:val="00565AEA"/>
    <w:rsid w:val="007A24BE"/>
    <w:rsid w:val="00A85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1"/>
        <w:szCs w:val="21"/>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b/>
      <w:bCs/>
      <w:color w:val="366091"/>
      <w:sz w:val="24"/>
      <w:szCs w:val="24"/>
    </w:rPr>
  </w:style>
  <w:style w:type="paragraph" w:styleId="Heading2">
    <w:name w:val="heading 2"/>
    <w:basedOn w:val="Normal"/>
    <w:next w:val="Normal"/>
    <w:uiPriority w:val="9"/>
    <w:unhideWhenUsed/>
    <w:qFormat/>
    <w:pPr>
      <w:keepNext/>
      <w:keepLines/>
      <w:spacing w:before="200" w:after="0"/>
      <w:outlineLvl w:val="1"/>
    </w:pPr>
    <w:rPr>
      <w:b/>
      <w:bCs/>
      <w:color w:val="4F81BD"/>
      <w:sz w:val="22"/>
      <w:szCs w:val="22"/>
    </w:rPr>
  </w:style>
  <w:style w:type="paragraph" w:styleId="Heading3">
    <w:name w:val="heading 3"/>
    <w:basedOn w:val="Normal"/>
    <w:next w:val="Normal"/>
    <w:uiPriority w:val="9"/>
    <w:semiHidden/>
    <w:unhideWhenUsed/>
    <w:qFormat/>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uiPriority w:val="9"/>
    <w:semiHidden/>
    <w:unhideWhenUsed/>
    <w:qFormat/>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uiPriority w:val="9"/>
    <w:semiHidden/>
    <w:unhideWhenUsed/>
    <w:qFormat/>
    <w:pPr>
      <w:keepNext/>
      <w:keepLines/>
      <w:spacing w:before="200" w:after="0"/>
      <w:outlineLvl w:val="4"/>
    </w:pPr>
    <w:rPr>
      <w:rFonts w:ascii="Calibri" w:eastAsia="Calibri" w:hAnsi="Calibri" w:cs="Calibri"/>
      <w:color w:val="243F61"/>
    </w:rPr>
  </w:style>
  <w:style w:type="paragraph" w:styleId="Heading6">
    <w:name w:val="heading 6"/>
    <w:basedOn w:val="Normal"/>
    <w:next w:val="Normal"/>
    <w:uiPriority w:val="9"/>
    <w:semiHidden/>
    <w:unhideWhenUsed/>
    <w:qFormat/>
    <w:pPr>
      <w:keepNext/>
      <w:keepLines/>
      <w:spacing w:before="200" w:after="0"/>
      <w:outlineLvl w:val="5"/>
    </w:pPr>
    <w:rPr>
      <w:rFonts w:ascii="Calibri" w:eastAsia="Calibri" w:hAnsi="Calibri" w:cs="Calibri"/>
      <w:i/>
      <w:iCs/>
      <w:color w:val="243F6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bottom w:val="single" w:sz="8" w:space="4" w:color="4F81BD"/>
      </w:pBdr>
      <w:spacing w:after="300" w:line="240" w:lineRule="auto"/>
    </w:pPr>
    <w:rPr>
      <w:rFonts w:ascii="Calibri" w:eastAsia="Calibri" w:hAnsi="Calibri" w:cs="Calibri"/>
      <w:b/>
      <w:bCs/>
      <w:color w:val="17365D"/>
      <w:sz w:val="30"/>
      <w:szCs w:val="30"/>
    </w:rPr>
  </w:style>
  <w:style w:type="paragraph" w:styleId="Subtitle">
    <w:name w:val="Subtitle"/>
    <w:basedOn w:val="Normal"/>
    <w:next w:val="Normal"/>
    <w:uiPriority w:val="11"/>
    <w:qFormat/>
    <w:rPr>
      <w:rFonts w:ascii="Calibri" w:eastAsia="Calibri" w:hAnsi="Calibri" w:cs="Calibri"/>
      <w:i/>
      <w:iCs/>
      <w:color w:val="4F81BD"/>
      <w:sz w:val="24"/>
      <w:szCs w:val="24"/>
    </w:rPr>
  </w:style>
  <w:style w:type="paragraph" w:styleId="Header">
    <w:name w:val="header"/>
    <w:basedOn w:val="Normal"/>
    <w:link w:val="HeaderChar"/>
    <w:uiPriority w:val="99"/>
    <w:unhideWhenUsed/>
    <w:rsid w:val="00A851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1D0"/>
  </w:style>
  <w:style w:type="paragraph" w:styleId="Footer">
    <w:name w:val="footer"/>
    <w:basedOn w:val="Normal"/>
    <w:link w:val="FooterChar"/>
    <w:uiPriority w:val="99"/>
    <w:unhideWhenUsed/>
    <w:rsid w:val="00A851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1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cPsDTU5DnZ1suN3JIUq9WjgtEg==">CgMxLjAyDmguY3JseWxreXQ2dGl1Mg5oLnhqeWdld3hoZXdtdzIOaC5mdXNxc3I1aDdjNGkyDmguOTVlbGlpazU2ZzFnMg1oLmJjd3RpcDduZW81Mg5oLnNycHNhNjc5eDE1dDIOaC4xd2hlNzAxbjhzN3kyDmgudDlwMmdldm1wa3JjMg5oLmNpbGtmZ25xeXk1bTIOaC5sYmpycHdseTNhbmMyDmgueHM5d2RicWpvaXJvOAByITFGamFUaHdzWEhkdS1ZZTVvalU0bmFCbmhRTjhDdGha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1586</Words>
  <Characters>8108</Characters>
  <Application>Microsoft Office Word</Application>
  <DocSecurity>0</DocSecurity>
  <Lines>115</Lines>
  <Paragraphs>17</Paragraphs>
  <ScaleCrop>false</ScaleCrop>
  <Company/>
  <LinksUpToDate>false</LinksUpToDate>
  <CharactersWithSpaces>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2026-06-01T11:42:00Z</dcterms:created>
  <dcterms:modified xsi:type="dcterms:W3CDTF">2026-06-01T11:42:00Z</dcterms:modified>
</cp:coreProperties>
</file>