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before="200" w:line="240" w:lineRule="auto"/>
        <w:jc w:val="center"/>
        <w:rPr>
          <w:rFonts w:ascii="Arial" w:cs="Arial" w:eastAsia="Arial" w:hAnsi="Arial"/>
          <w:sz w:val="22"/>
          <w:szCs w:val="22"/>
        </w:rPr>
      </w:pPr>
      <w:r w:rsidDel="00000000" w:rsidR="00000000" w:rsidRPr="00000000">
        <w:rPr>
          <w:rFonts w:ascii="Arial" w:cs="Arial" w:eastAsia="Arial" w:hAnsi="Arial"/>
          <w:b w:val="1"/>
          <w:bCs w:val="1"/>
          <w:color w:val="1f3864"/>
          <w:sz w:val="36"/>
          <w:szCs w:val="36"/>
          <w:rtl w:val="0"/>
        </w:rPr>
        <w:t xml:space="preserve">PËRMBLEDHJE E DËGJESËS PUBLIKE</w:t>
      </w:r>
      <w:r w:rsidDel="00000000" w:rsidR="00000000" w:rsidRPr="00000000">
        <w:rPr>
          <w:rtl w:val="0"/>
        </w:rPr>
      </w:r>
    </w:p>
    <w:p w:rsidR="00000000" w:rsidDel="00000000" w:rsidP="00000000" w:rsidRDefault="00000000" w:rsidRPr="00000000" w14:paraId="00000002">
      <w:pPr>
        <w:spacing w:after="80" w:line="240" w:lineRule="auto"/>
        <w:jc w:val="center"/>
        <w:rPr>
          <w:rFonts w:ascii="Arial" w:cs="Arial" w:eastAsia="Arial" w:hAnsi="Arial"/>
          <w:sz w:val="22"/>
          <w:szCs w:val="22"/>
        </w:rPr>
      </w:pPr>
      <w:r w:rsidDel="00000000" w:rsidR="00000000" w:rsidRPr="00000000">
        <w:rPr>
          <w:rFonts w:ascii="Arial" w:cs="Arial" w:eastAsia="Arial" w:hAnsi="Arial"/>
          <w:color w:val="1a1a1a"/>
          <w:sz w:val="24"/>
          <w:szCs w:val="24"/>
          <w:rtl w:val="0"/>
        </w:rPr>
        <w:t xml:space="preserve">Komisioni i Posaçëm Parlamentar për Reformën Administrative-Territoriale</w:t>
      </w:r>
      <w:r w:rsidDel="00000000" w:rsidR="00000000" w:rsidRPr="00000000">
        <w:rPr>
          <w:rtl w:val="0"/>
        </w:rPr>
      </w:r>
    </w:p>
    <w:p w:rsidR="00000000" w:rsidDel="00000000" w:rsidP="00000000" w:rsidRDefault="00000000" w:rsidRPr="00000000" w14:paraId="00000003">
      <w:pPr>
        <w:spacing w:after="320" w:line="240" w:lineRule="auto"/>
        <w:jc w:val="center"/>
        <w:rPr>
          <w:rFonts w:ascii="Arial" w:cs="Arial" w:eastAsia="Arial" w:hAnsi="Arial"/>
        </w:rPr>
      </w:pPr>
      <w:r w:rsidDel="00000000" w:rsidR="00000000" w:rsidRPr="00000000">
        <w:rPr>
          <w:rFonts w:ascii="Arial" w:cs="Arial" w:eastAsia="Arial" w:hAnsi="Arial"/>
          <w:color w:val="555555"/>
          <w:sz w:val="22"/>
          <w:szCs w:val="22"/>
          <w:rtl w:val="0"/>
        </w:rPr>
        <w:t xml:space="preserve">Qarku Korçë |  25 Qershor 2026</w:t>
      </w:r>
      <w:r w:rsidDel="00000000" w:rsidR="00000000" w:rsidRPr="00000000">
        <w:rPr>
          <w:rtl w:val="0"/>
        </w:rPr>
      </w:r>
    </w:p>
    <w:p w:rsidR="00000000" w:rsidDel="00000000" w:rsidP="00000000" w:rsidRDefault="00000000" w:rsidRPr="00000000" w14:paraId="00000004">
      <w:pPr>
        <w:pStyle w:val="Heading1"/>
        <w:keepNext w:val="0"/>
        <w:keepLines w:val="0"/>
        <w:pageBreakBefore w:val="0"/>
        <w:widowControl w:val="1"/>
        <w:pBdr>
          <w:top w:space="0" w:sz="0" w:val="nil"/>
          <w:left w:space="0" w:sz="0" w:val="nil"/>
          <w:bottom w:space="0" w:sz="0" w:val="nil"/>
          <w:right w:space="0" w:sz="0" w:val="nil"/>
          <w:between w:space="0" w:sz="0" w:val="nil"/>
        </w:pBdr>
        <w:shd w:fill="1f3864" w:val="clear"/>
        <w:spacing w:after="160" w:before="320" w:line="240" w:lineRule="auto"/>
        <w:ind w:left="200" w:right="200" w:firstLine="0"/>
        <w:jc w:val="both"/>
        <w:rPr>
          <w:rFonts w:ascii="Arial" w:cs="Arial" w:eastAsia="Arial" w:hAnsi="Arial"/>
          <w:color w:val="ffffff"/>
          <w:sz w:val="26"/>
          <w:szCs w:val="26"/>
        </w:rPr>
      </w:pPr>
      <w:bookmarkStart w:colFirst="0" w:colLast="0" w:name="_heading=h.crlylkyt6tiu" w:id="0"/>
      <w:bookmarkEnd w:id="0"/>
      <w:r w:rsidDel="00000000" w:rsidR="00000000" w:rsidRPr="00000000">
        <w:rPr>
          <w:rFonts w:ascii="Arial" w:cs="Arial" w:eastAsia="Arial" w:hAnsi="Arial"/>
          <w:color w:val="ffffff"/>
          <w:sz w:val="26"/>
          <w:szCs w:val="26"/>
          <w:rtl w:val="0"/>
        </w:rPr>
        <w:t xml:space="preserve">1. Konteksti dhe kuadri i dëgjesës</w:t>
      </w:r>
    </w:p>
    <w:p w:rsidR="00000000" w:rsidDel="00000000" w:rsidP="00000000" w:rsidRDefault="00000000" w:rsidRPr="00000000" w14:paraId="00000005">
      <w:pPr>
        <w:spacing w:after="160" w:lineRule="auto"/>
        <w:jc w:val="both"/>
        <w:rPr>
          <w:rFonts w:ascii="Arial" w:cs="Arial" w:eastAsia="Arial" w:hAnsi="Arial"/>
        </w:rPr>
      </w:pPr>
      <w:r w:rsidDel="00000000" w:rsidR="00000000" w:rsidRPr="00000000">
        <w:rPr>
          <w:rFonts w:ascii="Arial" w:cs="Arial" w:eastAsia="Arial" w:hAnsi="Arial"/>
          <w:rtl w:val="0"/>
        </w:rPr>
        <w:t xml:space="preserve">Dëgjesa publike e Qarkut Korçë u zhvillua më 25 qershor 2026, si dëgjesa e njëmbëdhjetë në vijim të konsultimeve parlamentare për reformën administrative-territoriale. Diskutimi u organizua në tri kolona tematike; territori dhe qeverisja, funksionet e shërbimet, financat vendore, me pjesëmarrje nga bashkitë Korçë, Pogradec, Maliq, Devoll, Kolonjë dhe Pustec dhe me kontribut nga qytetarë, të zgjedhur vendorë, administrata vendore, bota akademike, biznesi dhe shoqëria civile.</w:t>
      </w:r>
    </w:p>
    <w:p w:rsidR="00000000" w:rsidDel="00000000" w:rsidP="00000000" w:rsidRDefault="00000000" w:rsidRPr="00000000" w14:paraId="00000006">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7">
      <w:pPr>
        <w:spacing w:after="0" w:line="252.00000000000003"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8">
      <w:pPr>
        <w:pStyle w:val="Heading1"/>
        <w:keepNext w:val="0"/>
        <w:keepLines w:val="0"/>
        <w:pageBreakBefore w:val="0"/>
        <w:widowControl w:val="1"/>
        <w:pBdr>
          <w:top w:space="0" w:sz="0" w:val="nil"/>
          <w:left w:space="0" w:sz="0" w:val="nil"/>
          <w:bottom w:space="0" w:sz="0" w:val="nil"/>
          <w:right w:space="0" w:sz="0" w:val="nil"/>
          <w:between w:space="0" w:sz="0" w:val="nil"/>
        </w:pBdr>
        <w:shd w:fill="1f3864" w:val="clear"/>
        <w:spacing w:after="160" w:before="320" w:line="240" w:lineRule="auto"/>
        <w:ind w:left="200" w:right="200" w:firstLine="0"/>
        <w:jc w:val="both"/>
        <w:rPr>
          <w:rFonts w:ascii="Arial" w:cs="Arial" w:eastAsia="Arial" w:hAnsi="Arial"/>
          <w:color w:val="ffffff"/>
          <w:sz w:val="26"/>
          <w:szCs w:val="26"/>
        </w:rPr>
      </w:pPr>
      <w:bookmarkStart w:colFirst="0" w:colLast="0" w:name="_heading=h.xjygewxhewmw" w:id="1"/>
      <w:bookmarkEnd w:id="1"/>
      <w:r w:rsidDel="00000000" w:rsidR="00000000" w:rsidRPr="00000000">
        <w:rPr>
          <w:rFonts w:ascii="Arial" w:cs="Arial" w:eastAsia="Arial" w:hAnsi="Arial"/>
          <w:color w:val="ffffff"/>
          <w:sz w:val="26"/>
          <w:szCs w:val="26"/>
          <w:rtl w:val="0"/>
        </w:rPr>
        <w:t xml:space="preserve">2. Qeverisja vendore dhe përfaqësimi</w:t>
      </w:r>
    </w:p>
    <w:p w:rsidR="00000000" w:rsidDel="00000000" w:rsidP="00000000" w:rsidRDefault="00000000" w:rsidRPr="00000000" w14:paraId="00000009">
      <w:pPr>
        <w:pStyle w:val="Heading2"/>
        <w:keepNext w:val="0"/>
        <w:keepLines w:val="0"/>
        <w:pBdr>
          <w:bottom w:color="2e5090" w:space="4" w:sz="4" w:val="single"/>
        </w:pBdr>
        <w:spacing w:after="100" w:before="240" w:line="240" w:lineRule="auto"/>
        <w:jc w:val="both"/>
        <w:rPr>
          <w:rFonts w:ascii="Arial" w:cs="Arial" w:eastAsia="Arial" w:hAnsi="Arial"/>
        </w:rPr>
      </w:pPr>
      <w:bookmarkStart w:colFirst="0" w:colLast="0" w:name="_heading=h.fusqsr5h7c4i" w:id="2"/>
      <w:bookmarkEnd w:id="2"/>
      <w:r w:rsidDel="00000000" w:rsidR="00000000" w:rsidRPr="00000000">
        <w:rPr>
          <w:rFonts w:ascii="Arial" w:cs="Arial" w:eastAsia="Arial" w:hAnsi="Arial"/>
          <w:color w:val="2e5090"/>
          <w:sz w:val="24"/>
          <w:szCs w:val="24"/>
          <w:rtl w:val="0"/>
        </w:rPr>
        <w:t xml:space="preserve">Gjetje kryesore</w:t>
      </w:r>
      <w:r w:rsidDel="00000000" w:rsidR="00000000" w:rsidRPr="00000000">
        <w:rPr>
          <w:rtl w:val="0"/>
        </w:rPr>
      </w:r>
    </w:p>
    <w:p w:rsidR="00000000" w:rsidDel="00000000" w:rsidP="00000000" w:rsidRDefault="00000000" w:rsidRPr="00000000" w14:paraId="0000000A">
      <w:pPr>
        <w:numPr>
          <w:ilvl w:val="0"/>
          <w:numId w:val="4"/>
        </w:numPr>
        <w:spacing w:after="0" w:afterAutospacing="0" w:lineRule="auto"/>
        <w:ind w:left="0" w:hanging="360"/>
        <w:jc w:val="both"/>
        <w:rPr>
          <w:rFonts w:ascii="Arial" w:cs="Arial" w:eastAsia="Arial" w:hAnsi="Arial"/>
          <w:u w:val="none"/>
        </w:rPr>
      </w:pPr>
      <w:r w:rsidDel="00000000" w:rsidR="00000000" w:rsidRPr="00000000">
        <w:rPr>
          <w:rFonts w:ascii="Arial" w:cs="Arial" w:eastAsia="Arial" w:hAnsi="Arial"/>
          <w:rtl w:val="0"/>
        </w:rPr>
        <w:t xml:space="preserve">Për efektet e reformës së vitit 2014 u paraqitën vlerësime të kundërta: një pjesë e pjesëmarrësve evidentoi administrim më të konsoliduar, kapacitete e investime që ish-komunat nuk i përballonin dot, ndërsa një pjesë tjetër theksoi largimin e vendimmarrjes nga qytetari, dobësimin e shërbimeve në periferi dhe shpopullimin e zonave rurale e malore.</w:t>
      </w:r>
    </w:p>
    <w:p w:rsidR="00000000" w:rsidDel="00000000" w:rsidP="00000000" w:rsidRDefault="00000000" w:rsidRPr="00000000" w14:paraId="0000000B">
      <w:pPr>
        <w:numPr>
          <w:ilvl w:val="0"/>
          <w:numId w:val="4"/>
        </w:numPr>
        <w:spacing w:after="0" w:afterAutospacing="0" w:lineRule="auto"/>
        <w:ind w:left="0" w:hanging="360"/>
        <w:jc w:val="both"/>
        <w:rPr>
          <w:rFonts w:ascii="Arial" w:cs="Arial" w:eastAsia="Arial" w:hAnsi="Arial"/>
          <w:u w:val="none"/>
        </w:rPr>
      </w:pPr>
      <w:r w:rsidDel="00000000" w:rsidR="00000000" w:rsidRPr="00000000">
        <w:rPr>
          <w:rFonts w:ascii="Arial" w:cs="Arial" w:eastAsia="Arial" w:hAnsi="Arial"/>
          <w:rtl w:val="0"/>
        </w:rPr>
        <w:t xml:space="preserve">U nënvizua se modeli territorial nuk mund të gjykohet vetëm nga numri i bashkive apo madhësia e tyre; në vlerësim duhet të peshojnë identiteti, tradita, relievi, distancat, struktura ekonomike dhe kostoja që qytetari përballon për të marrë një shërbim larg vendbanimit.</w:t>
      </w:r>
    </w:p>
    <w:p w:rsidR="00000000" w:rsidDel="00000000" w:rsidP="00000000" w:rsidRDefault="00000000" w:rsidRPr="00000000" w14:paraId="0000000C">
      <w:pPr>
        <w:numPr>
          <w:ilvl w:val="0"/>
          <w:numId w:val="4"/>
        </w:numPr>
        <w:spacing w:after="0" w:afterAutospacing="0" w:lineRule="auto"/>
        <w:ind w:left="0" w:hanging="360"/>
        <w:jc w:val="both"/>
        <w:rPr>
          <w:rFonts w:ascii="Arial" w:cs="Arial" w:eastAsia="Arial" w:hAnsi="Arial"/>
          <w:u w:val="none"/>
        </w:rPr>
      </w:pPr>
      <w:r w:rsidDel="00000000" w:rsidR="00000000" w:rsidRPr="00000000">
        <w:rPr>
          <w:rFonts w:ascii="Arial" w:cs="Arial" w:eastAsia="Arial" w:hAnsi="Arial"/>
          <w:rtl w:val="0"/>
        </w:rPr>
        <w:t xml:space="preserve">Parimi i subsidiaritetit u trajtua si bosht i organizimit vendor, me theksin se shërbimi duhet ofruar sa më afër qytetarit, por aty ku ofrimi është realisht i mundur; nga kjo u lidh nevoja për të balancuar afërsinë me qytetarin me efiçencën dhe ekonominë e shkallës në ushtrimin e funksioneve.</w:t>
      </w:r>
    </w:p>
    <w:p w:rsidR="00000000" w:rsidDel="00000000" w:rsidP="00000000" w:rsidRDefault="00000000" w:rsidRPr="00000000" w14:paraId="0000000D">
      <w:pPr>
        <w:numPr>
          <w:ilvl w:val="0"/>
          <w:numId w:val="4"/>
        </w:numPr>
        <w:spacing w:after="0" w:afterAutospacing="0" w:lineRule="auto"/>
        <w:ind w:left="0" w:hanging="360"/>
        <w:jc w:val="both"/>
        <w:rPr>
          <w:rFonts w:ascii="Arial" w:cs="Arial" w:eastAsia="Arial" w:hAnsi="Arial"/>
          <w:u w:val="none"/>
        </w:rPr>
      </w:pPr>
      <w:r w:rsidDel="00000000" w:rsidR="00000000" w:rsidRPr="00000000">
        <w:rPr>
          <w:rFonts w:ascii="Arial" w:cs="Arial" w:eastAsia="Arial" w:hAnsi="Arial"/>
          <w:rtl w:val="0"/>
        </w:rPr>
        <w:t xml:space="preserve">Çështja demografike zuri vend qendror: u përmend humbja e ndjeshme e popullsisë në qark, përfshirë rënien e theksuar të numrit të banorëve në Bashkinë Korçë; lëvizja e popullsisë u lexua nga disa si pasojë e mungesës së shërbimeve dhe përfaqësimit, ndërsa nga të tjerë si pjesë e një tendence më të gjerë urbanizimi, duke paralajmëruar kundër lidhjes mekanike të largimit të banorëve me afrimin e shërbimeve.</w:t>
      </w:r>
    </w:p>
    <w:p w:rsidR="00000000" w:rsidDel="00000000" w:rsidP="00000000" w:rsidRDefault="00000000" w:rsidRPr="00000000" w14:paraId="0000000E">
      <w:pPr>
        <w:numPr>
          <w:ilvl w:val="0"/>
          <w:numId w:val="4"/>
        </w:numPr>
        <w:spacing w:after="120" w:lineRule="auto"/>
        <w:ind w:left="0" w:hanging="360"/>
        <w:jc w:val="both"/>
        <w:rPr>
          <w:rFonts w:ascii="Arial" w:cs="Arial" w:eastAsia="Arial" w:hAnsi="Arial"/>
          <w:u w:val="none"/>
        </w:rPr>
      </w:pPr>
      <w:r w:rsidDel="00000000" w:rsidR="00000000" w:rsidRPr="00000000">
        <w:rPr>
          <w:rFonts w:ascii="Arial" w:cs="Arial" w:eastAsia="Arial" w:hAnsi="Arial"/>
          <w:rtl w:val="0"/>
        </w:rPr>
        <w:t xml:space="preserve">U kërkua që modeli i ardhshëm të ruajë disa nivele qeverisjeje: nëse zgjidhet varianti me pak bashki të mëdha, njësitë administrative duhet të kenë kompetenca të shtuara dhe përfaqësues të zgjedhur drejtpërdrejt; nëse ruhet ose shtohet numri i bashkive, niveli i dytë i qeverisjes, qarku ose rajoni duhet të forcohet me kompetenca reale.</w:t>
      </w:r>
    </w:p>
    <w:p w:rsidR="00000000" w:rsidDel="00000000" w:rsidP="00000000" w:rsidRDefault="00000000" w:rsidRPr="00000000" w14:paraId="0000000F">
      <w:pPr>
        <w:spacing w:after="0" w:line="252.00000000000003"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0">
      <w:pPr>
        <w:spacing w:after="0" w:line="252.00000000000003"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1">
      <w:pPr>
        <w:spacing w:after="0" w:before="40" w:line="252.00000000000003" w:lineRule="auto"/>
        <w:jc w:val="both"/>
        <w:rPr>
          <w:rFonts w:ascii="Arial" w:cs="Arial" w:eastAsia="Arial" w:hAnsi="Arial"/>
        </w:rPr>
      </w:pPr>
      <w:r w:rsidDel="00000000" w:rsidR="00000000" w:rsidRPr="00000000">
        <w:rPr>
          <w:rFonts w:ascii="Arial" w:cs="Arial" w:eastAsia="Arial" w:hAnsi="Arial"/>
          <w:b w:val="1"/>
          <w:bCs w:val="1"/>
          <w:color w:val="2e5090"/>
          <w:sz w:val="24"/>
          <w:szCs w:val="24"/>
          <w:rtl w:val="0"/>
        </w:rPr>
        <w:t xml:space="preserve">Gjetje dytësore</w:t>
      </w:r>
      <w:r w:rsidDel="00000000" w:rsidR="00000000" w:rsidRPr="00000000">
        <w:rPr>
          <w:rtl w:val="0"/>
        </w:rPr>
      </w:r>
    </w:p>
    <w:p w:rsidR="00000000" w:rsidDel="00000000" w:rsidP="00000000" w:rsidRDefault="00000000" w:rsidRPr="00000000" w14:paraId="00000012">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Për Bashkinë Pustec u kërkua ruajtja si njësi më vete, duke iu referuar kornizës kushtetuese dhe ligjit për mbrojtjen e pakicave kombëtare, përbërjes shumicë të komunitetit maqedonas dhe rrezikut të humbjes së të drejtave gjuhësore e identitare; u parashtrua gjithashtu propozimi për riemërtimin e saj në Bashkia Prespë.</w:t>
      </w:r>
    </w:p>
    <w:p w:rsidR="00000000" w:rsidDel="00000000" w:rsidP="00000000" w:rsidRDefault="00000000" w:rsidRPr="00000000" w14:paraId="00000013">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Për Bashkinë Devoll u paraqit një kërkesë e gjerë e komunitetit për ta ruajtur si bashki më vete, e shoqëruar me peticion dhe me kërkesën që dëgjesa të zhvillohej në Bilisht; u theksuan pozicioni qendror i kryeqendrës, distancat e brendshme dhe ndarjet natyrore me bashkitë fqinje.</w:t>
      </w:r>
    </w:p>
    <w:p w:rsidR="00000000" w:rsidDel="00000000" w:rsidP="00000000" w:rsidRDefault="00000000" w:rsidRPr="00000000" w14:paraId="00000014">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Për Bashkinë Kolonjë u ringritën pasojat e bashkimit të vitit 2014, veçanërisht largësia e Leskovikut nga qendra dhe tkurrja e shërbimeve atje, së bashku me shqetësimin se njësia mund të humbasë funksionet dhe identitetin e saj.</w:t>
      </w:r>
    </w:p>
    <w:p w:rsidR="00000000" w:rsidDel="00000000" w:rsidP="00000000" w:rsidRDefault="00000000" w:rsidRPr="00000000" w14:paraId="00000015">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Për Bashkinë Maliq u shprehën qëndrime të forta për ruajtjen e saj, duke u mbështetur te pesha bujqësore dhe te numri i banorëve të njësive administrative; disa ndërhyrje shkuan deri te propozime alternative për rikonfigurimin e qendrës së qarkut, të paraqitura më shumë si reagim sesa si qëndrim i përbashkët.</w:t>
      </w:r>
    </w:p>
    <w:p w:rsidR="00000000" w:rsidDel="00000000" w:rsidP="00000000" w:rsidRDefault="00000000" w:rsidRPr="00000000" w14:paraId="00000016">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propozua forcimi i rolit të këshillave bashkiakë si organe vendimmarrëse e jo thjesht miratuese, përfshirë vende të dedikuara për përfaqësues territorialë të njësive administrative dhe hapësirë për lista civile të pavarura nga partitë, si dhe mekanizma më të prekshëm pjesëmarrjeje — buxhetim me pjesëmarrje, peticione, nisma qytetare, referendume vendore dhe asamble qytetare.</w:t>
      </w:r>
    </w:p>
    <w:p w:rsidR="00000000" w:rsidDel="00000000" w:rsidP="00000000" w:rsidRDefault="00000000" w:rsidRPr="00000000" w14:paraId="00000017">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ngrit shqetësimi se salla u perceptua si e mbushur kryesisht nga strukturat e dy palëve politike, ndërsa qytetari i zakonshëm mbeti në plan të dytë; nga kjo doli kërkesa për konsultim më të gjerë e më gjithëpërfshirës.</w:t>
      </w:r>
    </w:p>
    <w:p w:rsidR="00000000" w:rsidDel="00000000" w:rsidP="00000000" w:rsidRDefault="00000000" w:rsidRPr="00000000" w14:paraId="0000001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2.00000000000003" w:lineRule="auto"/>
        <w:ind w:left="180" w:right="0" w:hanging="360"/>
        <w:jc w:val="both"/>
        <w:rPr>
          <w:rFonts w:ascii="Arial" w:cs="Arial" w:eastAsia="Arial" w:hAnsi="Arial"/>
          <w:u w:val="none"/>
        </w:rPr>
      </w:pPr>
      <w:r w:rsidDel="00000000" w:rsidR="00000000" w:rsidRPr="00000000">
        <w:rPr>
          <w:rtl w:val="0"/>
        </w:rPr>
      </w:r>
    </w:p>
    <w:p w:rsidR="00000000" w:rsidDel="00000000" w:rsidP="00000000" w:rsidRDefault="00000000" w:rsidRPr="00000000" w14:paraId="00000019">
      <w:pPr>
        <w:pStyle w:val="Heading1"/>
        <w:keepNext w:val="0"/>
        <w:keepLines w:val="0"/>
        <w:pageBreakBefore w:val="0"/>
        <w:widowControl w:val="1"/>
        <w:pBdr>
          <w:top w:space="0" w:sz="0" w:val="nil"/>
          <w:left w:space="0" w:sz="0" w:val="nil"/>
          <w:bottom w:space="0" w:sz="0" w:val="nil"/>
          <w:right w:space="0" w:sz="0" w:val="nil"/>
          <w:between w:space="0" w:sz="0" w:val="nil"/>
        </w:pBdr>
        <w:shd w:fill="1f3864" w:val="clear"/>
        <w:spacing w:after="160" w:before="320" w:line="240" w:lineRule="auto"/>
        <w:ind w:left="0" w:right="200" w:firstLine="0"/>
        <w:jc w:val="both"/>
        <w:rPr>
          <w:rFonts w:ascii="Arial" w:cs="Arial" w:eastAsia="Arial" w:hAnsi="Arial"/>
          <w:color w:val="ffffff"/>
          <w:sz w:val="26"/>
          <w:szCs w:val="26"/>
        </w:rPr>
      </w:pPr>
      <w:bookmarkStart w:colFirst="0" w:colLast="0" w:name="_heading=h.95eliik56g1g" w:id="3"/>
      <w:bookmarkEnd w:id="3"/>
      <w:r w:rsidDel="00000000" w:rsidR="00000000" w:rsidRPr="00000000">
        <w:rPr>
          <w:rFonts w:ascii="Arial" w:cs="Arial" w:eastAsia="Arial" w:hAnsi="Arial"/>
          <w:color w:val="ffffff"/>
          <w:sz w:val="26"/>
          <w:szCs w:val="26"/>
          <w:rtl w:val="0"/>
        </w:rPr>
        <w:t xml:space="preserve">3. Mbështetja ligjore dhe burimet</w:t>
      </w:r>
    </w:p>
    <w:p w:rsidR="00000000" w:rsidDel="00000000" w:rsidP="00000000" w:rsidRDefault="00000000" w:rsidRPr="00000000" w14:paraId="0000001A">
      <w:pPr>
        <w:pStyle w:val="Heading2"/>
        <w:keepNext w:val="0"/>
        <w:keepLines w:val="0"/>
        <w:pageBreakBefore w:val="0"/>
        <w:widowControl w:val="1"/>
        <w:pBdr>
          <w:top w:space="0" w:sz="0" w:val="nil"/>
          <w:left w:space="0" w:sz="0" w:val="nil"/>
          <w:bottom w:color="2e5090" w:space="4" w:sz="4" w:val="single"/>
          <w:right w:space="0" w:sz="0" w:val="nil"/>
          <w:between w:space="0" w:sz="0" w:val="nil"/>
        </w:pBdr>
        <w:shd w:fill="auto" w:val="clear"/>
        <w:spacing w:after="100" w:before="240" w:line="240" w:lineRule="auto"/>
        <w:ind w:left="0" w:right="0" w:firstLine="0"/>
        <w:jc w:val="both"/>
        <w:rPr>
          <w:rFonts w:ascii="Arial" w:cs="Arial" w:eastAsia="Arial" w:hAnsi="Arial"/>
          <w:color w:val="2e5090"/>
          <w:sz w:val="24"/>
          <w:szCs w:val="24"/>
        </w:rPr>
      </w:pPr>
      <w:bookmarkStart w:colFirst="0" w:colLast="0" w:name="_heading=h.bcwtip7neo5" w:id="4"/>
      <w:bookmarkEnd w:id="4"/>
      <w:r w:rsidDel="00000000" w:rsidR="00000000" w:rsidRPr="00000000">
        <w:rPr>
          <w:rFonts w:ascii="Arial" w:cs="Arial" w:eastAsia="Arial" w:hAnsi="Arial"/>
          <w:color w:val="2e5090"/>
          <w:sz w:val="24"/>
          <w:szCs w:val="24"/>
          <w:rtl w:val="0"/>
        </w:rPr>
        <w:t xml:space="preserve">Gjetje kryesore</w:t>
      </w:r>
    </w:p>
    <w:p w:rsidR="00000000" w:rsidDel="00000000" w:rsidP="00000000" w:rsidRDefault="00000000" w:rsidRPr="00000000" w14:paraId="0000001B">
      <w:pPr>
        <w:numPr>
          <w:ilvl w:val="0"/>
          <w:numId w:val="2"/>
        </w:numPr>
        <w:spacing w:after="120" w:lineRule="auto"/>
        <w:ind w:left="0" w:hanging="360"/>
        <w:jc w:val="both"/>
      </w:pPr>
      <w:r w:rsidDel="00000000" w:rsidR="00000000" w:rsidRPr="00000000">
        <w:rPr>
          <w:rtl w:val="0"/>
        </w:rPr>
        <w:t xml:space="preserve">U kërkua që përgjegjësitë e pushtetit vendor të përkufizohen qartë dhe të shoqërohen me kompetencat, financat dhe burimet njerëzore përkatëse, me theksin se një kompetencë nuk ka vlerë nëse njësia nuk ka kapacitetin real për ta ushtruar.</w:t>
      </w:r>
    </w:p>
    <w:p w:rsidR="00000000" w:rsidDel="00000000" w:rsidP="00000000" w:rsidRDefault="00000000" w:rsidRPr="00000000" w14:paraId="0000001C">
      <w:pPr>
        <w:numPr>
          <w:ilvl w:val="0"/>
          <w:numId w:val="2"/>
        </w:numPr>
        <w:spacing w:after="120" w:lineRule="auto"/>
        <w:ind w:left="0" w:hanging="360"/>
        <w:jc w:val="both"/>
      </w:pPr>
      <w:r w:rsidDel="00000000" w:rsidR="00000000" w:rsidRPr="00000000">
        <w:rPr>
          <w:rtl w:val="0"/>
        </w:rPr>
        <w:t xml:space="preserve">Centralizimi i disa shërbimeve u vlerësua si problematik, veçanërisht largimi i zyrave të kadastrës, bujqësisë, pyjeve dhe ujësjellësit nga qendrat lokale drejt qendrës së qarkut, që ka rritur distancën dhe koston për qytetarin; u kërkua delegim më i qartë i administrimit te bashkitë, duke i lënë qeverisjes qendrore kryesisht politikat.</w:t>
      </w:r>
    </w:p>
    <w:p w:rsidR="00000000" w:rsidDel="00000000" w:rsidP="00000000" w:rsidRDefault="00000000" w:rsidRPr="00000000" w14:paraId="0000001D">
      <w:pPr>
        <w:numPr>
          <w:ilvl w:val="0"/>
          <w:numId w:val="2"/>
        </w:numPr>
        <w:spacing w:after="120" w:lineRule="auto"/>
        <w:ind w:left="0" w:hanging="360"/>
        <w:jc w:val="both"/>
      </w:pPr>
      <w:r w:rsidDel="00000000" w:rsidR="00000000" w:rsidRPr="00000000">
        <w:rPr>
          <w:rtl w:val="0"/>
        </w:rPr>
        <w:t xml:space="preserve">Njësitë administrative u përshkruan shpesh si zyra ku qytetari paraqet ankesën, ndërsa zgjidhja vjen nga qendra e bashkisë; u kërkua që ato të pajisen me mjete minimale pune, përgjegjësi më funksionale dhe rol më të qartë i kryetarëve të fshatrave në evidentimin e nevojave.</w:t>
      </w:r>
    </w:p>
    <w:p w:rsidR="00000000" w:rsidDel="00000000" w:rsidP="00000000" w:rsidRDefault="00000000" w:rsidRPr="00000000" w14:paraId="0000001E">
      <w:pPr>
        <w:numPr>
          <w:ilvl w:val="0"/>
          <w:numId w:val="2"/>
        </w:numPr>
        <w:spacing w:after="120" w:lineRule="auto"/>
        <w:ind w:left="0" w:hanging="360"/>
        <w:jc w:val="both"/>
      </w:pPr>
      <w:r w:rsidDel="00000000" w:rsidR="00000000" w:rsidRPr="00000000">
        <w:rPr>
          <w:rtl w:val="0"/>
        </w:rPr>
        <w:t xml:space="preserve">Bashkëpunimi ndërbashkiak u paraqit si instrument për të ndarë mjete e specialistë dhe për të ofruar shërbime pa kushtëzuar domosdoshmërisht bashkimin territorial; u përmend se në qark ka raste konkrete ku ky bashkëpunim është realizuar.</w:t>
      </w:r>
    </w:p>
    <w:p w:rsidR="00000000" w:rsidDel="00000000" w:rsidP="00000000" w:rsidRDefault="00000000" w:rsidRPr="00000000" w14:paraId="0000001F">
      <w:pPr>
        <w:numPr>
          <w:ilvl w:val="0"/>
          <w:numId w:val="2"/>
        </w:numPr>
        <w:spacing w:after="120" w:lineRule="auto"/>
        <w:ind w:left="0" w:hanging="360"/>
        <w:jc w:val="both"/>
      </w:pPr>
      <w:r w:rsidDel="00000000" w:rsidR="00000000" w:rsidRPr="00000000">
        <w:rPr>
          <w:rtl w:val="0"/>
        </w:rPr>
        <w:t xml:space="preserve">U kërkua forcimi i nivelit të dytë të qeverisjes: qarqet, që sot nuk kanë kompetenca thelbësore, ose krijimi i rajoneve mund të marrin funksione si menaxhimi i mbetjeve, ujërave dhe planifikimi territorial, të cilat bashkitë e vogla e të mesme e kanë të vështirë t'i përballojnë vetëm.</w:t>
      </w:r>
    </w:p>
    <w:p w:rsidR="00000000" w:rsidDel="00000000" w:rsidP="00000000" w:rsidRDefault="00000000" w:rsidRPr="00000000" w14:paraId="00000020">
      <w:pPr>
        <w:spacing w:after="0" w:before="40" w:line="252.00000000000003" w:lineRule="auto"/>
        <w:jc w:val="both"/>
        <w:rPr>
          <w:rFonts w:ascii="Arial" w:cs="Arial" w:eastAsia="Arial" w:hAnsi="Arial"/>
          <w:b w:val="1"/>
          <w:bCs w:val="1"/>
          <w:color w:val="2e5090"/>
          <w:sz w:val="24"/>
          <w:szCs w:val="24"/>
        </w:rPr>
      </w:pPr>
      <w:r w:rsidDel="00000000" w:rsidR="00000000" w:rsidRPr="00000000">
        <w:rPr>
          <w:rtl w:val="0"/>
        </w:rPr>
      </w:r>
    </w:p>
    <w:p w:rsidR="00000000" w:rsidDel="00000000" w:rsidP="00000000" w:rsidRDefault="00000000" w:rsidRPr="00000000" w14:paraId="00000021">
      <w:pPr>
        <w:spacing w:after="0" w:before="40" w:line="252.00000000000003" w:lineRule="auto"/>
        <w:jc w:val="both"/>
        <w:rPr>
          <w:rFonts w:ascii="Arial" w:cs="Arial" w:eastAsia="Arial" w:hAnsi="Arial"/>
          <w:b w:val="1"/>
          <w:bCs w:val="1"/>
          <w:color w:val="2e5090"/>
          <w:sz w:val="24"/>
          <w:szCs w:val="24"/>
        </w:rPr>
      </w:pPr>
      <w:r w:rsidDel="00000000" w:rsidR="00000000" w:rsidRPr="00000000">
        <w:rPr>
          <w:rFonts w:ascii="Arial" w:cs="Arial" w:eastAsia="Arial" w:hAnsi="Arial"/>
          <w:b w:val="1"/>
          <w:bCs w:val="1"/>
          <w:color w:val="2e5090"/>
          <w:sz w:val="24"/>
          <w:szCs w:val="24"/>
          <w:rtl w:val="0"/>
        </w:rPr>
        <w:t xml:space="preserve">Gjetje dytësore</w:t>
      </w:r>
    </w:p>
    <w:p w:rsidR="00000000" w:rsidDel="00000000" w:rsidP="00000000" w:rsidRDefault="00000000" w:rsidRPr="00000000" w14:paraId="00000022">
      <w:pPr>
        <w:spacing w:after="0" w:before="40" w:line="252.00000000000003" w:lineRule="auto"/>
        <w:jc w:val="both"/>
        <w:rPr>
          <w:rFonts w:ascii="Arial" w:cs="Arial" w:eastAsia="Arial" w:hAnsi="Arial"/>
          <w:b w:val="1"/>
          <w:bCs w:val="1"/>
          <w:color w:val="2e5090"/>
          <w:sz w:val="24"/>
          <w:szCs w:val="24"/>
        </w:rPr>
      </w:pPr>
      <w:r w:rsidDel="00000000" w:rsidR="00000000" w:rsidRPr="00000000">
        <w:rPr>
          <w:rtl w:val="0"/>
        </w:rPr>
      </w:r>
    </w:p>
    <w:p w:rsidR="00000000" w:rsidDel="00000000" w:rsidP="00000000" w:rsidRDefault="00000000" w:rsidRPr="00000000" w14:paraId="00000023">
      <w:pPr>
        <w:numPr>
          <w:ilvl w:val="0"/>
          <w:numId w:val="1"/>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Procesi i integrimit europian u lidh me nevojën për administrata të afta të projektojnë e zbatojnë projekte për fondet e kohezionit dhe ato strukturore; nga ana tjetër u argumentua se gatishmëria për këto fonde varet nga kapaciteti, bashkëpunimi dhe vazhdimësia institucionale, jo nga numri i bashkive.</w:t>
      </w:r>
    </w:p>
    <w:p w:rsidR="00000000" w:rsidDel="00000000" w:rsidP="00000000" w:rsidRDefault="00000000" w:rsidRPr="00000000" w14:paraId="00000024">
      <w:pPr>
        <w:numPr>
          <w:ilvl w:val="0"/>
          <w:numId w:val="1"/>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theksua nevoja për staf profesional si inxhinierë, arkitektë, urbanistë, ekonomistë e juristë, duke pranuar se kapacitetet janë të pabarabarta mes bashkive të qarkut.</w:t>
      </w:r>
    </w:p>
    <w:p w:rsidR="00000000" w:rsidDel="00000000" w:rsidP="00000000" w:rsidRDefault="00000000" w:rsidRPr="00000000" w14:paraId="00000025">
      <w:pPr>
        <w:numPr>
          <w:ilvl w:val="0"/>
          <w:numId w:val="1"/>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ngritën shqetësime për politizimin e administratës dhe rritjen e numrit të punonjësve pa përmirësim përkatës të shërbimit, si dhe u kërkua që vlerësimi i njësive të mos mbështetet vetëm te kapaciteti aktual, i cili pjesërisht është pasojë e zgjedhjeve të mëparshme menaxheriale.</w:t>
      </w:r>
    </w:p>
    <w:p w:rsidR="00000000" w:rsidDel="00000000" w:rsidP="00000000" w:rsidRDefault="00000000" w:rsidRPr="00000000" w14:paraId="00000026">
      <w:pPr>
        <w:numPr>
          <w:ilvl w:val="0"/>
          <w:numId w:val="1"/>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evidentua paqartësia e linjave të përgjegjësisë kur kompetencat ndahen mes bashkisë, drejtorive rajonale dhe institucioneve qendrore, duke e lënë qytetarin pa një adresë të qartë për shërbimin që kërkon.</w:t>
      </w:r>
    </w:p>
    <w:p w:rsidR="00000000" w:rsidDel="00000000" w:rsidP="00000000" w:rsidRDefault="00000000" w:rsidRPr="00000000" w14:paraId="00000027">
      <w:pPr>
        <w:spacing w:after="60" w:line="252.00000000000003" w:lineRule="auto"/>
        <w:ind w:left="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28">
      <w:pPr>
        <w:pStyle w:val="Heading1"/>
        <w:keepNext w:val="0"/>
        <w:keepLines w:val="0"/>
        <w:pageBreakBefore w:val="0"/>
        <w:widowControl w:val="1"/>
        <w:pBdr>
          <w:top w:space="0" w:sz="0" w:val="nil"/>
          <w:left w:space="0" w:sz="0" w:val="nil"/>
          <w:bottom w:space="0" w:sz="0" w:val="nil"/>
          <w:right w:space="0" w:sz="0" w:val="nil"/>
          <w:between w:space="0" w:sz="0" w:val="nil"/>
        </w:pBdr>
        <w:shd w:fill="1f3864" w:val="clear"/>
        <w:spacing w:after="160" w:before="320" w:line="240" w:lineRule="auto"/>
        <w:ind w:left="200" w:right="200" w:firstLine="0"/>
        <w:jc w:val="both"/>
        <w:rPr>
          <w:rFonts w:ascii="Arial" w:cs="Arial" w:eastAsia="Arial" w:hAnsi="Arial"/>
          <w:color w:val="ffffff"/>
          <w:sz w:val="26"/>
          <w:szCs w:val="26"/>
        </w:rPr>
      </w:pPr>
      <w:bookmarkStart w:colFirst="0" w:colLast="0" w:name="_heading=h.srpsa679x15t" w:id="5"/>
      <w:bookmarkEnd w:id="5"/>
      <w:r w:rsidDel="00000000" w:rsidR="00000000" w:rsidRPr="00000000">
        <w:rPr>
          <w:rFonts w:ascii="Arial" w:cs="Arial" w:eastAsia="Arial" w:hAnsi="Arial"/>
          <w:color w:val="ffffff"/>
          <w:sz w:val="26"/>
          <w:szCs w:val="26"/>
          <w:rtl w:val="0"/>
        </w:rPr>
        <w:t xml:space="preserve">4. Funksionet, kompetencat dhe shërbimet</w:t>
      </w:r>
    </w:p>
    <w:p w:rsidR="00000000" w:rsidDel="00000000" w:rsidP="00000000" w:rsidRDefault="00000000" w:rsidRPr="00000000" w14:paraId="00000029">
      <w:pPr>
        <w:pStyle w:val="Heading2"/>
        <w:keepNext w:val="0"/>
        <w:keepLines w:val="0"/>
        <w:pageBreakBefore w:val="0"/>
        <w:widowControl w:val="1"/>
        <w:pBdr>
          <w:top w:space="0" w:sz="0" w:val="nil"/>
          <w:left w:space="0" w:sz="0" w:val="nil"/>
          <w:bottom w:color="2e5090" w:space="4" w:sz="4" w:val="single"/>
          <w:right w:space="0" w:sz="0" w:val="nil"/>
          <w:between w:space="0" w:sz="0" w:val="nil"/>
        </w:pBdr>
        <w:shd w:fill="auto" w:val="clear"/>
        <w:spacing w:after="100" w:before="240" w:line="240" w:lineRule="auto"/>
        <w:ind w:left="0" w:right="0" w:firstLine="0"/>
        <w:jc w:val="both"/>
        <w:rPr>
          <w:rFonts w:ascii="Arial" w:cs="Arial" w:eastAsia="Arial" w:hAnsi="Arial"/>
          <w:color w:val="2e5090"/>
          <w:sz w:val="24"/>
          <w:szCs w:val="24"/>
        </w:rPr>
      </w:pPr>
      <w:bookmarkStart w:colFirst="0" w:colLast="0" w:name="_heading=h.1whe701n8s7y" w:id="6"/>
      <w:bookmarkEnd w:id="6"/>
      <w:r w:rsidDel="00000000" w:rsidR="00000000" w:rsidRPr="00000000">
        <w:rPr>
          <w:rFonts w:ascii="Arial" w:cs="Arial" w:eastAsia="Arial" w:hAnsi="Arial"/>
          <w:color w:val="2e5090"/>
          <w:sz w:val="24"/>
          <w:szCs w:val="24"/>
          <w:rtl w:val="0"/>
        </w:rPr>
        <w:t xml:space="preserve">Gjetje kryesore</w:t>
      </w:r>
    </w:p>
    <w:p w:rsidR="00000000" w:rsidDel="00000000" w:rsidP="00000000" w:rsidRDefault="00000000" w:rsidRPr="00000000" w14:paraId="0000002A">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Përvoja e shërbimeve u paraqit e diferencuar: në disa njësi u evidentuan investime në rrugë, ujësjellës, kanale vaditëse e kulluese dhe hapësira publike, ndërsa në zona të tjera, sidomos rurale e malore, u raportuan vonesa, mungesë mirëmbajtjeje dhe largim i shërbimeve.</w:t>
      </w:r>
    </w:p>
    <w:p w:rsidR="00000000" w:rsidDel="00000000" w:rsidP="00000000" w:rsidRDefault="00000000" w:rsidRPr="00000000" w14:paraId="0000002B">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Vaditja, kullimi dhe mirëmbajtja e kanaleve u renditën ndër çështjet kryesore për ekonominë bujqësore të qarkut; u sollën raste konkrete përmbytjesh dhe sipërfaqesh të mbetura nën ujë, si dhe një ngërç ndërinstitucional mes bashkisë, bordit të kullimit dhe procedurave qendrore të nderimit, krahas dëshmive të kundërta për gjendjen e sistemit vaditës.</w:t>
      </w:r>
    </w:p>
    <w:p w:rsidR="00000000" w:rsidDel="00000000" w:rsidP="00000000" w:rsidRDefault="00000000" w:rsidRPr="00000000" w14:paraId="0000002C">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Bujqësia dhe blegtoria u trajtuan si shtylla të ekonomisë së juglindjes, me theks te vështirësitë e tregtimit të prodhimeve; pikat e shumicës të ngritura në qark u vlerësuan si jofunksionale për mungesë menaxhimi e departamentesh, ndërsa u kërkuan magazina me kushte teknike dhe skema mbështetjeje për ruajtjen dhe shitjen.</w:t>
      </w:r>
    </w:p>
    <w:p w:rsidR="00000000" w:rsidDel="00000000" w:rsidP="00000000" w:rsidRDefault="00000000" w:rsidRPr="00000000" w14:paraId="0000002D">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rikujtua se disa funksione janë decentralizuar e disa të tjera janë centralizuar; u kërkua të rishihet niveli ku alokohet secili shërbim dhe mënyra e organizimit të tij, duke vlerësuar bashkëpunimin ndërvendor si instrument inovativ për funksione me kosto të lartë fikse.</w:t>
      </w:r>
    </w:p>
    <w:p w:rsidR="00000000" w:rsidDel="00000000" w:rsidP="00000000" w:rsidRDefault="00000000" w:rsidRPr="00000000" w14:paraId="0000002E">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Për zonat malore e të largëta të qarkut u theksua se distanca, relievi dhe popullsia e shpërndarë rrisin koston e shërbimit dhe rrezikojnë braktisjen e territorit; nga kjo u kërkua që organizimi dhe standardet të marrin parasysh këtë realitet.</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720" w:right="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30">
      <w:pPr>
        <w:spacing w:after="0" w:before="40" w:line="252.00000000000003" w:lineRule="auto"/>
        <w:jc w:val="both"/>
        <w:rPr>
          <w:rFonts w:ascii="Arial" w:cs="Arial" w:eastAsia="Arial" w:hAnsi="Arial"/>
        </w:rPr>
      </w:pPr>
      <w:r w:rsidDel="00000000" w:rsidR="00000000" w:rsidRPr="00000000">
        <w:rPr>
          <w:rFonts w:ascii="Arial" w:cs="Arial" w:eastAsia="Arial" w:hAnsi="Arial"/>
          <w:b w:val="1"/>
          <w:bCs w:val="1"/>
          <w:color w:val="2e5090"/>
          <w:sz w:val="24"/>
          <w:szCs w:val="24"/>
          <w:rtl w:val="0"/>
        </w:rPr>
        <w:t xml:space="preserve">Gjetje dytësore</w:t>
      </w:r>
      <w:r w:rsidDel="00000000" w:rsidR="00000000" w:rsidRPr="00000000">
        <w:rPr>
          <w:rtl w:val="0"/>
        </w:rPr>
      </w:r>
    </w:p>
    <w:p w:rsidR="00000000" w:rsidDel="00000000" w:rsidP="00000000" w:rsidRDefault="00000000" w:rsidRPr="00000000" w14:paraId="00000031">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ngritën shqetësime për aksesin në arsim dhe shërbime administrative në fshatra, përfshirë mbylljen e disa shkollave dhe nevojën për lëvizje drejt qendrës për veprime të thjeshta, ndërkohë që u evidentua një përmirësim i ndjeshëm i shërbimit shëndetësor në qark.</w:t>
      </w:r>
    </w:p>
    <w:p w:rsidR="00000000" w:rsidDel="00000000" w:rsidP="00000000" w:rsidRDefault="00000000" w:rsidRPr="00000000" w14:paraId="00000032">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përmendën investime infrastrukturore të vlerësuara pozitivisht nga banorë të disa njësive si ne ujësjellësa, kanalizime, rrugë e parcela bujqësore, të paraqitura si dëshmi e drejtpërdrejtë e ndryshimit krahasuar me periudhën e ish-komunave.</w:t>
      </w:r>
    </w:p>
    <w:p w:rsidR="00000000" w:rsidDel="00000000" w:rsidP="00000000" w:rsidRDefault="00000000" w:rsidRPr="00000000" w14:paraId="00000033">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Infrastruktura ekonomike e papërdorur, si pikat e grumbullimit të produkteve, u soll si shembull i investimeve që nuk u shoqëruan me menaxhim e shërbim, duke mbetur jashtë funksioni.</w:t>
      </w:r>
    </w:p>
    <w:p w:rsidR="00000000" w:rsidDel="00000000" w:rsidP="00000000" w:rsidRDefault="00000000" w:rsidRPr="00000000" w14:paraId="00000034">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Centralizimi i disa shërbimeve publike dhe i shërbimeve të lidhura me drejtësinë u përmend si faktor që ka rritur kohën dhe koston për qytetarin, edhe kur këto nuk janë funksione të drejtpërdrejta të bashkive.</w:t>
      </w:r>
    </w:p>
    <w:p w:rsidR="00000000" w:rsidDel="00000000" w:rsidP="00000000" w:rsidRDefault="00000000" w:rsidRPr="00000000" w14:paraId="00000035">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kërkua që reforma të mbështetet te tradita, historia e kultura e territoreve dhe te një projeksion ekonomik afatgjatë, i shoqëruar me një axhendë të qartë decentralizimi.</w:t>
      </w:r>
    </w:p>
    <w:p w:rsidR="00000000" w:rsidDel="00000000" w:rsidP="00000000" w:rsidRDefault="00000000" w:rsidRPr="00000000" w14:paraId="00000036">
      <w:pPr>
        <w:spacing w:after="60" w:line="252.00000000000003" w:lineRule="auto"/>
        <w:ind w:left="-6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37">
      <w:pPr>
        <w:pStyle w:val="Heading1"/>
        <w:keepNext w:val="0"/>
        <w:keepLines w:val="0"/>
        <w:pageBreakBefore w:val="0"/>
        <w:widowControl w:val="1"/>
        <w:pBdr>
          <w:top w:space="0" w:sz="0" w:val="nil"/>
          <w:left w:space="0" w:sz="0" w:val="nil"/>
          <w:bottom w:space="0" w:sz="0" w:val="nil"/>
          <w:right w:space="0" w:sz="0" w:val="nil"/>
          <w:between w:space="0" w:sz="0" w:val="nil"/>
        </w:pBdr>
        <w:shd w:fill="1f3864" w:val="clear"/>
        <w:spacing w:after="160" w:before="320" w:line="240" w:lineRule="auto"/>
        <w:ind w:left="0" w:right="200" w:firstLine="0"/>
        <w:jc w:val="both"/>
        <w:rPr>
          <w:rFonts w:ascii="Arial" w:cs="Arial" w:eastAsia="Arial" w:hAnsi="Arial"/>
          <w:color w:val="ffffff"/>
          <w:sz w:val="26"/>
          <w:szCs w:val="26"/>
        </w:rPr>
      </w:pPr>
      <w:bookmarkStart w:colFirst="0" w:colLast="0" w:name="_heading=h.t9p2gevmpkrc" w:id="7"/>
      <w:bookmarkEnd w:id="7"/>
      <w:r w:rsidDel="00000000" w:rsidR="00000000" w:rsidRPr="00000000">
        <w:rPr>
          <w:rFonts w:ascii="Arial" w:cs="Arial" w:eastAsia="Arial" w:hAnsi="Arial"/>
          <w:color w:val="ffffff"/>
          <w:sz w:val="26"/>
          <w:szCs w:val="26"/>
          <w:rtl w:val="0"/>
        </w:rPr>
        <w:t xml:space="preserve">5. Parimet e financimit të njësive të qeverisjes vendore</w:t>
      </w:r>
    </w:p>
    <w:p w:rsidR="00000000" w:rsidDel="00000000" w:rsidP="00000000" w:rsidRDefault="00000000" w:rsidRPr="00000000" w14:paraId="00000038">
      <w:pPr>
        <w:pStyle w:val="Heading2"/>
        <w:keepNext w:val="0"/>
        <w:keepLines w:val="0"/>
        <w:pageBreakBefore w:val="0"/>
        <w:widowControl w:val="1"/>
        <w:pBdr>
          <w:top w:space="0" w:sz="0" w:val="nil"/>
          <w:left w:space="0" w:sz="0" w:val="nil"/>
          <w:bottom w:color="2e5090" w:space="4" w:sz="4" w:val="single"/>
          <w:right w:space="0" w:sz="0" w:val="nil"/>
          <w:between w:space="0" w:sz="0" w:val="nil"/>
        </w:pBdr>
        <w:shd w:fill="auto" w:val="clear"/>
        <w:spacing w:after="100" w:before="240" w:line="240" w:lineRule="auto"/>
        <w:ind w:left="0" w:right="0" w:firstLine="0"/>
        <w:jc w:val="both"/>
        <w:rPr>
          <w:rFonts w:ascii="Arial" w:cs="Arial" w:eastAsia="Arial" w:hAnsi="Arial"/>
          <w:color w:val="2e5090"/>
          <w:sz w:val="24"/>
          <w:szCs w:val="24"/>
        </w:rPr>
      </w:pPr>
      <w:bookmarkStart w:colFirst="0" w:colLast="0" w:name="_heading=h.cilkfgnqyy5m" w:id="8"/>
      <w:bookmarkEnd w:id="8"/>
      <w:r w:rsidDel="00000000" w:rsidR="00000000" w:rsidRPr="00000000">
        <w:rPr>
          <w:rFonts w:ascii="Arial" w:cs="Arial" w:eastAsia="Arial" w:hAnsi="Arial"/>
          <w:color w:val="2e5090"/>
          <w:sz w:val="24"/>
          <w:szCs w:val="24"/>
          <w:rtl w:val="0"/>
        </w:rPr>
        <w:t xml:space="preserve">Gjetje kryesore</w:t>
      </w:r>
    </w:p>
    <w:p w:rsidR="00000000" w:rsidDel="00000000" w:rsidP="00000000" w:rsidRDefault="00000000" w:rsidRPr="00000000" w14:paraId="00000039">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Financimi u identifikua si kushti që funksionet ligjore të shndërrohen në shërbime; u theksua se autonomia financiare matet me raportin mes të ardhurave të veta dhe grantit, dhe se kompetencat e reja duhet të shoqërohen me burime të parashikueshme.</w:t>
      </w:r>
    </w:p>
    <w:p w:rsidR="00000000" w:rsidDel="00000000" w:rsidP="00000000" w:rsidRDefault="00000000" w:rsidRPr="00000000" w14:paraId="0000003A">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evidentua se aftësia për të gjeneruar të ardhura lidhet kryesisht me fuqinë ekonomike të territorit e jo vetëm me funksionimin e aparatit mbledhës; ndaj u kërkua forcimi i mekanizmave të barazimit për njësitë me bazë më të kufizuar tatimore.</w:t>
      </w:r>
    </w:p>
    <w:p w:rsidR="00000000" w:rsidDel="00000000" w:rsidP="00000000" w:rsidRDefault="00000000" w:rsidRPr="00000000" w14:paraId="0000003B">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ngrit varësia e lartë e bashkive nga granti i qeverisë qendrore dhe u kërkua rritja e transfertës së pakushtëzuar, me referenca te pesha e saj ndaj prodhimit të brendshëm bruto dhe te raporti mes pjesës së pakushtëzuar dhe asaj të kushtëzuar.</w:t>
      </w:r>
    </w:p>
    <w:p w:rsidR="00000000" w:rsidDel="00000000" w:rsidP="00000000" w:rsidRDefault="00000000" w:rsidRPr="00000000" w14:paraId="0000003C">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Formula e financimit u kërkua të reflektojë, përveç popullsisë, edhe sipërfaqen, relievin, ruralitetin, largësinë dhe kostot specifike të zonave malore, në mënyrë që ekzistenca e një njësie të mos varet vetëm nga vendimet vjetore të financimit qendror.</w:t>
      </w:r>
    </w:p>
    <w:p w:rsidR="00000000" w:rsidDel="00000000" w:rsidP="00000000" w:rsidRDefault="00000000" w:rsidRPr="00000000" w14:paraId="0000003D">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paraqitën modele krahasuese europiane për mbështetjen e pushtetit vendor nga buxheti qendror, duke u përdorur si argument se qëndrueshmëria e njësive të vogla mund të sigurohet përmes formulës së financimit dhe jo domosdoshmërisht përmes bashkimit territorial.</w:t>
      </w:r>
    </w:p>
    <w:p w:rsidR="00000000" w:rsidDel="00000000" w:rsidP="00000000" w:rsidRDefault="00000000" w:rsidRPr="00000000" w14:paraId="0000003E">
      <w:pPr>
        <w:spacing w:after="0" w:before="40" w:line="252.00000000000003"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3F">
      <w:pPr>
        <w:spacing w:after="0" w:before="40" w:line="252.00000000000003" w:lineRule="auto"/>
        <w:jc w:val="both"/>
        <w:rPr>
          <w:rFonts w:ascii="Arial" w:cs="Arial" w:eastAsia="Arial" w:hAnsi="Arial"/>
        </w:rPr>
      </w:pPr>
      <w:r w:rsidDel="00000000" w:rsidR="00000000" w:rsidRPr="00000000">
        <w:rPr>
          <w:rFonts w:ascii="Arial" w:cs="Arial" w:eastAsia="Arial" w:hAnsi="Arial"/>
          <w:b w:val="1"/>
          <w:bCs w:val="1"/>
          <w:color w:val="2e5090"/>
          <w:sz w:val="24"/>
          <w:szCs w:val="24"/>
          <w:rtl w:val="0"/>
        </w:rPr>
        <w:t xml:space="preserve">Gjetje dytësore</w:t>
      </w:r>
      <w:r w:rsidDel="00000000" w:rsidR="00000000" w:rsidRPr="00000000">
        <w:rPr>
          <w:rtl w:val="0"/>
        </w:rPr>
      </w:r>
    </w:p>
    <w:p w:rsidR="00000000" w:rsidDel="00000000" w:rsidP="00000000" w:rsidRDefault="00000000" w:rsidRPr="00000000" w14:paraId="00000040">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shpreh shqetësimi i biznesit të vogël për ndikimin e mundshëm të reformës te taksat vendore dhe u kërkua që presioni për të ardhura të mos kthehet në barrë shtesë mbi tatimpaguesin.</w:t>
      </w:r>
    </w:p>
    <w:p w:rsidR="00000000" w:rsidDel="00000000" w:rsidP="00000000" w:rsidRDefault="00000000" w:rsidRPr="00000000" w14:paraId="00000041">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kërkuan skema mbështetjeje për bujqësinë e blegtorinë dhe kompensim për dëmet nga fatkeqësitë natyrore, duke u sjellë raste ku mbështetja ka munguar.</w:t>
      </w:r>
    </w:p>
    <w:p w:rsidR="00000000" w:rsidDel="00000000" w:rsidP="00000000" w:rsidRDefault="00000000" w:rsidRPr="00000000" w14:paraId="00000042">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evidentua çekuilibri i investimeve, ku qendrat e mëdha urbane kanë përfituar më shumë se fshatrat; u përmendën edhe shifra investimesh në qark gjatë dekadës, por u kontestua barazia e shpërndarjes së tyre brenda territorit.</w:t>
      </w:r>
    </w:p>
    <w:p w:rsidR="00000000" w:rsidDel="00000000" w:rsidP="00000000" w:rsidRDefault="00000000" w:rsidRPr="00000000" w14:paraId="00000043">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Përthithja e fondeve europiane u konsiderua mundësi e rëndësishme, e kushtëzuar nga kapaciteti për projektim, bashkëfinancim dhe bashkëpunim ndërvendor.</w:t>
      </w:r>
    </w:p>
    <w:p w:rsidR="00000000" w:rsidDel="00000000" w:rsidP="00000000" w:rsidRDefault="00000000" w:rsidRPr="00000000" w14:paraId="00000044">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kërkua publikimi i një analize të ndikimit real të reformës së vitit 2014, që të shërbejë si bazë për hartimin e reformës së re, kërkesë e ngritur veçanërisht nga shoqëria civile.</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2.00000000000003" w:lineRule="auto"/>
        <w:ind w:left="720" w:right="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46">
      <w:pPr>
        <w:pStyle w:val="Heading1"/>
        <w:keepNext w:val="0"/>
        <w:keepLines w:val="0"/>
        <w:pageBreakBefore w:val="0"/>
        <w:widowControl w:val="1"/>
        <w:pBdr>
          <w:top w:space="0" w:sz="0" w:val="nil"/>
          <w:left w:space="0" w:sz="0" w:val="nil"/>
          <w:bottom w:space="0" w:sz="0" w:val="nil"/>
          <w:right w:space="0" w:sz="0" w:val="nil"/>
          <w:between w:space="0" w:sz="0" w:val="nil"/>
        </w:pBdr>
        <w:shd w:fill="1f3864" w:val="clear"/>
        <w:spacing w:after="160" w:before="320" w:line="240" w:lineRule="auto"/>
        <w:ind w:left="200" w:right="200" w:firstLine="0"/>
        <w:jc w:val="both"/>
        <w:rPr>
          <w:rFonts w:ascii="Arial" w:cs="Arial" w:eastAsia="Arial" w:hAnsi="Arial"/>
          <w:color w:val="ffffff"/>
          <w:sz w:val="26"/>
          <w:szCs w:val="26"/>
        </w:rPr>
      </w:pPr>
      <w:bookmarkStart w:colFirst="0" w:colLast="0" w:name="_heading=h.lbjrpwly3anc" w:id="9"/>
      <w:bookmarkEnd w:id="9"/>
      <w:r w:rsidDel="00000000" w:rsidR="00000000" w:rsidRPr="00000000">
        <w:rPr>
          <w:rFonts w:ascii="Arial" w:cs="Arial" w:eastAsia="Arial" w:hAnsi="Arial"/>
          <w:color w:val="ffffff"/>
          <w:sz w:val="26"/>
          <w:szCs w:val="26"/>
          <w:rtl w:val="0"/>
        </w:rPr>
        <w:t xml:space="preserve">6. Transparenca dhe llogaridhënia</w:t>
      </w:r>
    </w:p>
    <w:p w:rsidR="00000000" w:rsidDel="00000000" w:rsidP="00000000" w:rsidRDefault="00000000" w:rsidRPr="00000000" w14:paraId="00000047">
      <w:pPr>
        <w:pStyle w:val="Heading2"/>
        <w:keepNext w:val="0"/>
        <w:keepLines w:val="0"/>
        <w:pageBreakBefore w:val="0"/>
        <w:widowControl w:val="1"/>
        <w:pBdr>
          <w:top w:space="0" w:sz="0" w:val="nil"/>
          <w:left w:space="0" w:sz="0" w:val="nil"/>
          <w:bottom w:color="2e5090" w:space="4" w:sz="4" w:val="single"/>
          <w:right w:space="0" w:sz="0" w:val="nil"/>
          <w:between w:space="0" w:sz="0" w:val="nil"/>
        </w:pBdr>
        <w:shd w:fill="auto" w:val="clear"/>
        <w:spacing w:after="100" w:before="240" w:line="240" w:lineRule="auto"/>
        <w:ind w:left="0" w:right="0" w:firstLine="0"/>
        <w:jc w:val="both"/>
        <w:rPr>
          <w:rFonts w:ascii="Arial" w:cs="Arial" w:eastAsia="Arial" w:hAnsi="Arial"/>
          <w:color w:val="2e5090"/>
          <w:sz w:val="24"/>
          <w:szCs w:val="24"/>
        </w:rPr>
      </w:pPr>
      <w:bookmarkStart w:colFirst="0" w:colLast="0" w:name="_heading=h.xs9wdbqjoiro" w:id="10"/>
      <w:bookmarkEnd w:id="10"/>
      <w:r w:rsidDel="00000000" w:rsidR="00000000" w:rsidRPr="00000000">
        <w:rPr>
          <w:rFonts w:ascii="Arial" w:cs="Arial" w:eastAsia="Arial" w:hAnsi="Arial"/>
          <w:color w:val="2e5090"/>
          <w:sz w:val="24"/>
          <w:szCs w:val="24"/>
          <w:rtl w:val="0"/>
        </w:rPr>
        <w:t xml:space="preserve">Gjetje kryesore</w:t>
      </w:r>
    </w:p>
    <w:p w:rsidR="00000000" w:rsidDel="00000000" w:rsidP="00000000" w:rsidRDefault="00000000" w:rsidRPr="00000000" w14:paraId="00000048">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kërkua një fazë e dytë konsultimi mbi draftin e reformës, si dhe publikimi i një raporti analitik mbi rezultatet e reformës së vitit 2014.</w:t>
      </w:r>
    </w:p>
    <w:p w:rsidR="00000000" w:rsidDel="00000000" w:rsidP="00000000" w:rsidRDefault="00000000" w:rsidRPr="00000000" w14:paraId="00000049">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Qytetari u kërkua të ketë një adresë të qartë përgjegjësie për çdo shërbim, veçanërisht aty ku ndërthuren kompetencat e bashkisë, drejtorive rajonale dhe institucioneve qendrore.</w:t>
      </w:r>
    </w:p>
    <w:p w:rsidR="00000000" w:rsidDel="00000000" w:rsidP="00000000" w:rsidRDefault="00000000" w:rsidRPr="00000000" w14:paraId="0000004A">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shpreh shqetësimi për politizimin e procesit dhe u kërkua që çështjet e shërbimeve të trajtohen jashtë ndarjeve partiake, me theksin se shërbimet bazë ndaj qytetarit nuk kanë ngjyrim politik.</w:t>
      </w:r>
    </w:p>
    <w:p w:rsidR="00000000" w:rsidDel="00000000" w:rsidP="00000000" w:rsidRDefault="00000000" w:rsidRPr="00000000" w14:paraId="0000004B">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kërkua që rekomandimet e dëgjesës të pasqyrohen në mënyrë të dallueshme në propozimet përfundimtare, duke ruajtur balancën mes qëndrimeve të ndryshme të shprehura në sallë.</w:t>
      </w:r>
    </w:p>
    <w:p w:rsidR="00000000" w:rsidDel="00000000" w:rsidP="00000000" w:rsidRDefault="00000000" w:rsidRPr="00000000" w14:paraId="0000004C">
      <w:pPr>
        <w:spacing w:after="0" w:line="252.00000000000003"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D">
      <w:pPr>
        <w:spacing w:after="0" w:before="40" w:line="252.00000000000003" w:lineRule="auto"/>
        <w:jc w:val="both"/>
        <w:rPr>
          <w:rFonts w:ascii="Arial" w:cs="Arial" w:eastAsia="Arial" w:hAnsi="Arial"/>
        </w:rPr>
      </w:pPr>
      <w:r w:rsidDel="00000000" w:rsidR="00000000" w:rsidRPr="00000000">
        <w:rPr>
          <w:rFonts w:ascii="Arial" w:cs="Arial" w:eastAsia="Arial" w:hAnsi="Arial"/>
          <w:b w:val="1"/>
          <w:bCs w:val="1"/>
          <w:color w:val="2e5090"/>
          <w:sz w:val="24"/>
          <w:szCs w:val="24"/>
          <w:rtl w:val="0"/>
        </w:rPr>
        <w:t xml:space="preserve">Gjetje dytësore</w:t>
      </w:r>
      <w:r w:rsidDel="00000000" w:rsidR="00000000" w:rsidRPr="00000000">
        <w:rPr>
          <w:rtl w:val="0"/>
        </w:rPr>
      </w:r>
    </w:p>
    <w:p w:rsidR="00000000" w:rsidDel="00000000" w:rsidP="00000000" w:rsidRDefault="00000000" w:rsidRPr="00000000" w14:paraId="0000004E">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Përfaqësimi i zonave rurale e periferike në këshillat bashkiakë u trajtua si element i rëndësishëm i llogaridhënies, me propozime për këshilltarë territorialë të zgjedhur drejtpërdrejt dhe për lista civile.</w:t>
      </w:r>
    </w:p>
    <w:p w:rsidR="00000000" w:rsidDel="00000000" w:rsidP="00000000" w:rsidRDefault="00000000" w:rsidRPr="00000000" w14:paraId="0000004F">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propozua zgjerimi i mekanizmave të pjesëmarrjes së drejtpërdrejtë si buxhetim me pjesëmarrje real, peticione, nisma qytetare, referendume vendore dhe asamble qytetare.</w:t>
      </w:r>
    </w:p>
    <w:p w:rsidR="00000000" w:rsidDel="00000000" w:rsidP="00000000" w:rsidRDefault="00000000" w:rsidRPr="00000000" w14:paraId="00000050">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kërkua që dëgjesat të decentralizohen në njësitë vendore dhe që sektorë specifikë, sidomos fermerët, të kenë hapësira të dedikuara konsultimi.</w:t>
      </w:r>
    </w:p>
    <w:p w:rsidR="00000000" w:rsidDel="00000000" w:rsidP="00000000" w:rsidRDefault="00000000" w:rsidRPr="00000000" w14:paraId="00000051">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U kërkua transparencë mbi mënyrën si shpërndahen të ardhurat, grantet dhe investimet mes qendrës së bashkisë, njësive administrative dhe fshatrave.</w:t>
      </w:r>
    </w:p>
    <w:p w:rsidR="00000000" w:rsidDel="00000000" w:rsidP="00000000" w:rsidRDefault="00000000" w:rsidRPr="00000000" w14:paraId="00000052">
      <w:pPr>
        <w:numPr>
          <w:ilvl w:val="0"/>
          <w:numId w:val="3"/>
        </w:numPr>
        <w:spacing w:after="120" w:lineRule="auto"/>
        <w:ind w:left="0" w:hanging="360"/>
        <w:jc w:val="both"/>
        <w:rPr>
          <w:rFonts w:ascii="Arial" w:cs="Arial" w:eastAsia="Arial" w:hAnsi="Arial"/>
        </w:rPr>
      </w:pPr>
      <w:r w:rsidDel="00000000" w:rsidR="00000000" w:rsidRPr="00000000">
        <w:rPr>
          <w:rFonts w:ascii="Arial" w:cs="Arial" w:eastAsia="Arial" w:hAnsi="Arial"/>
          <w:rtl w:val="0"/>
        </w:rPr>
        <w:t xml:space="preserve">Në mbyllje, bashkëdrejtuesit theksuan se gjetjet do të pasqyrohen në punën e komisionit; u evidentua se në dëgjesat e zhvilluara një shumicë e qytetarëve shprehet për ruajtjen ose shtimin e numrit të bashkive, ndërsa mbetet dakordësi për dhënien e kompetencave, funksioneve e financave dhe për forcimin e nivelit të parë të qeverisjes.</w:t>
      </w:r>
    </w:p>
    <w:p w:rsidR="00000000" w:rsidDel="00000000" w:rsidP="00000000" w:rsidRDefault="00000000" w:rsidRPr="00000000" w14:paraId="00000053">
      <w:pPr>
        <w:spacing w:after="12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54">
      <w:pPr>
        <w:spacing w:after="12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55">
      <w:pPr>
        <w:pBdr>
          <w:top w:color="bbbbbb" w:space="0" w:sz="4" w:val="single"/>
        </w:pBdr>
        <w:spacing w:after="80" w:before="20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56">
      <w:pPr>
        <w:pBdr>
          <w:top w:color="bbbbbb" w:space="0" w:sz="4" w:val="single"/>
        </w:pBdr>
        <w:spacing w:after="80" w:before="200" w:line="240" w:lineRule="auto"/>
        <w:jc w:val="both"/>
        <w:rPr>
          <w:rFonts w:ascii="Arial" w:cs="Arial" w:eastAsia="Arial" w:hAnsi="Arial"/>
          <w:sz w:val="22"/>
          <w:szCs w:val="22"/>
        </w:rPr>
      </w:pPr>
      <w:r w:rsidDel="00000000" w:rsidR="00000000" w:rsidRPr="00000000">
        <w:rPr>
          <w:rFonts w:ascii="Arial" w:cs="Arial" w:eastAsia="Arial" w:hAnsi="Arial"/>
          <w:b w:val="1"/>
          <w:bCs w:val="1"/>
          <w:color w:val="666666"/>
          <w:sz w:val="20"/>
          <w:szCs w:val="20"/>
          <w:rtl w:val="0"/>
        </w:rPr>
        <w:t xml:space="preserve">Shënim metodologjik</w:t>
      </w:r>
      <w:r w:rsidDel="00000000" w:rsidR="00000000" w:rsidRPr="00000000">
        <w:rPr>
          <w:rtl w:val="0"/>
        </w:rPr>
      </w:r>
    </w:p>
    <w:p w:rsidR="00000000" w:rsidDel="00000000" w:rsidP="00000000" w:rsidRDefault="00000000" w:rsidRPr="00000000" w14:paraId="00000057">
      <w:pPr>
        <w:spacing w:after="0" w:line="240" w:lineRule="auto"/>
        <w:jc w:val="both"/>
        <w:rPr>
          <w:rFonts w:ascii="Arial" w:cs="Arial" w:eastAsia="Arial" w:hAnsi="Arial"/>
        </w:rPr>
      </w:pPr>
      <w:r w:rsidDel="00000000" w:rsidR="00000000" w:rsidRPr="00000000">
        <w:rPr>
          <w:rFonts w:ascii="Arial" w:cs="Arial" w:eastAsia="Arial" w:hAnsi="Arial"/>
          <w:color w:val="666666"/>
          <w:sz w:val="18"/>
          <w:szCs w:val="18"/>
          <w:rtl w:val="0"/>
        </w:rPr>
        <w:t xml:space="preserve">Ky dokument është hartuar mbi bazën e transskriptit të plotë të dëgjesës publike dhe përfaqëson të gjitha zërat e shprehura, duke ruajtur balancimin ndërmjet qasjeve divergjente. Ai nuk shpreh qëndrimin zyrtar të Komisionit, por dokumenton diversitetin e opinioneve të shprehura gjatë sesionit. Dëgjesa u moderua nga Valbona Karaci. Dëgjesa u regjistrua në tërësi. Transkripti i plotë dhe ky raport do të bëhen publike në faqen e reformës. </w:t>
      </w:r>
      <w:r w:rsidDel="00000000" w:rsidR="00000000" w:rsidRPr="00000000">
        <w:rPr>
          <w:rtl w:val="0"/>
        </w:rPr>
      </w:r>
    </w:p>
    <w:sectPr>
      <w:headerReference r:id="rId7" w:type="default"/>
      <w:footerReference r:id="rId8" w:type="default"/>
      <w:pgSz w:h="15840" w:w="12240" w:orient="portrait"/>
      <w:pgMar w:bottom="1440" w:top="1440" w:left="1440" w:right="1440" w:header="36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Apto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B">
    <w:pPr>
      <w:pBdr>
        <w:top w:color="cccccc" w:space="0" w:sz="4" w:val="single"/>
      </w:pBdr>
      <w:spacing w:after="0" w:line="240" w:lineRule="auto"/>
      <w:jc w:val="right"/>
      <w:rPr>
        <w:rFonts w:ascii="Arial" w:cs="Arial" w:eastAsia="Arial" w:hAnsi="Arial"/>
        <w:sz w:val="22"/>
        <w:szCs w:val="22"/>
      </w:rPr>
    </w:pPr>
    <w:r w:rsidDel="00000000" w:rsidR="00000000" w:rsidRPr="00000000">
      <w:rPr>
        <w:rFonts w:ascii="Arial" w:cs="Arial" w:eastAsia="Arial" w:hAnsi="Arial"/>
        <w:color w:val="888888"/>
        <w:sz w:val="18"/>
        <w:szCs w:val="18"/>
        <w:rtl w:val="0"/>
      </w:rPr>
      <w:t xml:space="preserve">25 Qershor   2026  |  Fq. </w:t>
    </w:r>
    <w:r w:rsidDel="00000000" w:rsidR="00000000" w:rsidRPr="00000000">
      <w:rPr>
        <w:rFonts w:ascii="Arial" w:cs="Arial" w:eastAsia="Arial" w:hAnsi="Arial"/>
        <w:color w:val="888888"/>
        <w:sz w:val="18"/>
        <w:szCs w:val="18"/>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8">
    <w:pPr>
      <w:pBdr>
        <w:bottom w:color="cccccc" w:space="0" w:sz="4" w:val="single"/>
      </w:pBdr>
      <w:spacing w:after="0" w:line="240" w:lineRule="auto"/>
      <w:jc w:val="center"/>
      <w:rPr>
        <w:rFonts w:ascii="Arial" w:cs="Arial" w:eastAsia="Arial" w:hAnsi="Arial"/>
        <w:color w:val="777777"/>
        <w:sz w:val="18"/>
        <w:szCs w:val="18"/>
      </w:rPr>
    </w:pPr>
    <w:r w:rsidDel="00000000" w:rsidR="00000000" w:rsidRPr="00000000">
      <w:rPr>
        <w:rFonts w:ascii="Arial" w:cs="Arial" w:eastAsia="Arial" w:hAnsi="Arial"/>
        <w:color w:val="777777"/>
        <w:sz w:val="18"/>
        <w:szCs w:val="18"/>
        <w:rtl w:val="0"/>
      </w:rPr>
      <w:t xml:space="preserve">Komisioni i Posaçëm Parlamentar për Reformën Administrative-Territoriale  |  Dëgjesë Publike – Qarku Korçë</w:t>
    </w:r>
  </w:p>
  <w:p w:rsidR="00000000" w:rsidDel="00000000" w:rsidP="00000000" w:rsidRDefault="00000000" w:rsidRPr="00000000" w14:paraId="00000059">
    <w:pPr>
      <w:pBdr>
        <w:bottom w:color="cccccc" w:space="0" w:sz="4" w:val="single"/>
      </w:pBdr>
      <w:spacing w:after="0" w:line="240" w:lineRule="auto"/>
      <w:jc w:val="center"/>
      <w:rPr>
        <w:rFonts w:ascii="Arial" w:cs="Arial" w:eastAsia="Arial" w:hAnsi="Arial"/>
        <w:color w:val="777777"/>
        <w:sz w:val="18"/>
        <w:szCs w:val="18"/>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1"/>
        <w:szCs w:val="21"/>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Aptos" w:cs="Aptos" w:eastAsia="Aptos" w:hAnsi="Aptos"/>
      <w:b w:val="1"/>
      <w:bCs w:val="1"/>
      <w:color w:val="366091"/>
      <w:sz w:val="24"/>
      <w:szCs w:val="24"/>
    </w:rPr>
  </w:style>
  <w:style w:type="paragraph" w:styleId="Heading2">
    <w:name w:val="heading 2"/>
    <w:basedOn w:val="Normal"/>
    <w:next w:val="Normal"/>
    <w:pPr>
      <w:keepNext w:val="1"/>
      <w:keepLines w:val="1"/>
      <w:spacing w:after="0" w:before="200" w:lineRule="auto"/>
    </w:pPr>
    <w:rPr>
      <w:rFonts w:ascii="Aptos" w:cs="Aptos" w:eastAsia="Aptos" w:hAnsi="Aptos"/>
      <w:b w:val="1"/>
      <w:bCs w:val="1"/>
      <w:color w:val="4f81bd"/>
      <w:sz w:val="22"/>
      <w:szCs w:val="22"/>
    </w:rPr>
  </w:style>
  <w:style w:type="paragraph" w:styleId="Heading3">
    <w:name w:val="heading 3"/>
    <w:basedOn w:val="Normal"/>
    <w:next w:val="Normal"/>
    <w:pPr>
      <w:keepNext w:val="1"/>
      <w:keepLines w:val="1"/>
      <w:spacing w:after="0" w:before="200" w:lineRule="auto"/>
    </w:pPr>
    <w:rPr>
      <w:rFonts w:ascii="Calibri" w:cs="Calibri" w:eastAsia="Calibri" w:hAnsi="Calibri"/>
      <w:b w:val="1"/>
      <w:bCs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bCs w:val="1"/>
      <w:i w:val="1"/>
      <w:iCs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iCs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b w:val="1"/>
      <w:bCs w:val="1"/>
      <w:color w:val="17365d"/>
      <w:sz w:val="30"/>
      <w:szCs w:val="30"/>
    </w:rPr>
  </w:style>
  <w:style w:type="paragraph" w:styleId="Subtitle">
    <w:name w:val="Subtitle"/>
    <w:basedOn w:val="Normal"/>
    <w:next w:val="Normal"/>
    <w:pPr/>
    <w:rPr>
      <w:rFonts w:ascii="Calibri" w:cs="Calibri" w:eastAsia="Calibri" w:hAnsi="Calibri"/>
      <w:i w:val="1"/>
      <w:iCs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0WoH2CTpyfuyRPUO7liMMb8GTzA==">CgMxLjAyDmguY3JseWxreXQ2dGl1Mg5oLnhqeWdld3hoZXdtdzIOaC5mdXNxc3I1aDdjNGkyDmguOTVlbGlpazU2ZzFnMg1oLmJjd3RpcDduZW81Mg5oLnNycHNhNjc5eDE1dDIOaC4xd2hlNzAxbjhzN3kyDmgudDlwMmdldm1wa3JjMg5oLmNpbGtmZ25xeXk1bTIOaC5sYmpycHdseTNhbmMyDmgueHM5d2RicWpvaXJvOAByITFtbExzR2RJWElBTUJNaDJsNk52X1loR0dITnV1alR1M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