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004AB" w:rsidRDefault="00862CB3">
      <w:pPr>
        <w:spacing w:after="160" w:line="252" w:lineRule="auto"/>
        <w:jc w:val="center"/>
        <w:rPr>
          <w:rFonts w:ascii="Arial" w:eastAsia="Arial" w:hAnsi="Arial" w:cs="Arial"/>
          <w:sz w:val="22"/>
          <w:szCs w:val="22"/>
        </w:rPr>
      </w:pPr>
      <w:r>
        <w:rPr>
          <w:rFonts w:ascii="Arial" w:eastAsia="Arial" w:hAnsi="Arial" w:cs="Arial"/>
          <w:b/>
          <w:bCs/>
          <w:color w:val="1F3864"/>
          <w:sz w:val="36"/>
          <w:szCs w:val="36"/>
        </w:rPr>
        <w:t>PËRMBLEDHJE E DËGJESËS PUBLIKE</w:t>
      </w:r>
    </w:p>
    <w:p w14:paraId="00000002" w14:textId="77777777" w:rsidR="000004AB" w:rsidRDefault="00862CB3">
      <w:pPr>
        <w:spacing w:after="80" w:line="240" w:lineRule="auto"/>
        <w:jc w:val="center"/>
        <w:rPr>
          <w:rFonts w:ascii="Arial" w:eastAsia="Arial" w:hAnsi="Arial" w:cs="Arial"/>
          <w:sz w:val="22"/>
          <w:szCs w:val="22"/>
        </w:rPr>
      </w:pPr>
      <w:r>
        <w:rPr>
          <w:rFonts w:ascii="Arial" w:eastAsia="Arial" w:hAnsi="Arial" w:cs="Arial"/>
          <w:color w:val="1A1A1A"/>
          <w:sz w:val="24"/>
          <w:szCs w:val="24"/>
        </w:rPr>
        <w:t>Komisioni i Posaçëm Parlamentar për Reformën Administrative-Territoriale</w:t>
      </w:r>
    </w:p>
    <w:p w14:paraId="00000003" w14:textId="77777777" w:rsidR="000004AB" w:rsidRDefault="00862CB3">
      <w:pPr>
        <w:spacing w:after="320" w:line="240" w:lineRule="auto"/>
        <w:jc w:val="center"/>
      </w:pPr>
      <w:r>
        <w:rPr>
          <w:rFonts w:ascii="Arial" w:eastAsia="Arial" w:hAnsi="Arial" w:cs="Arial"/>
          <w:color w:val="555555"/>
          <w:sz w:val="22"/>
          <w:szCs w:val="22"/>
        </w:rPr>
        <w:t>Qarku Vlorë |  5 Maj 2026</w:t>
      </w:r>
    </w:p>
    <w:p w14:paraId="00000004" w14:textId="77777777" w:rsidR="000004AB" w:rsidRDefault="00862CB3">
      <w:pPr>
        <w:pStyle w:val="Heading1"/>
        <w:keepNext w:val="0"/>
        <w:keepLines w:val="0"/>
        <w:shd w:val="clear" w:color="auto" w:fill="1F3864"/>
        <w:spacing w:before="320" w:after="160" w:line="240" w:lineRule="auto"/>
        <w:ind w:left="200" w:right="200"/>
        <w:jc w:val="both"/>
      </w:pPr>
      <w:bookmarkStart w:id="0" w:name="_t2axmn66c9zh" w:colFirst="0" w:colLast="0"/>
      <w:bookmarkEnd w:id="0"/>
      <w:r>
        <w:rPr>
          <w:rFonts w:ascii="Arial" w:eastAsia="Arial" w:hAnsi="Arial" w:cs="Arial"/>
          <w:color w:val="FFFFFF"/>
          <w:sz w:val="26"/>
          <w:szCs w:val="26"/>
        </w:rPr>
        <w:t>1. Konteksti dhe kuadri i dëgjesës</w:t>
      </w:r>
    </w:p>
    <w:p w14:paraId="00000005" w14:textId="77777777" w:rsidR="000004AB" w:rsidRDefault="00862CB3">
      <w:pPr>
        <w:spacing w:after="120" w:line="252" w:lineRule="auto"/>
        <w:jc w:val="both"/>
      </w:pPr>
      <w:r>
        <w:t xml:space="preserve">Dëgjesa publike e Qarkut Vlorë u zhvillua më 5 maj 2026, si pjesë e </w:t>
      </w:r>
      <w:r>
        <w:t>konsultimeve parlamentare për qeverisjen vendore. Diskutimi u përqendrua te territori, modeli i qeverisjes, funksionet, kompetencat, shërbimet dhe financat vendore, me fokus praktik te përvoja e qytetarëve, të zgjedhurve vendorë, shoqërisë civile, përfaqës</w:t>
      </w:r>
      <w:r>
        <w:t>uesve të administratës vendore dhe aktorëve lokalë në shtatë bashkitë e qarkut.</w:t>
      </w:r>
    </w:p>
    <w:p w14:paraId="00000006" w14:textId="77777777" w:rsidR="000004AB" w:rsidRDefault="00862CB3">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1" w:name="_fv04ya73rvzv" w:colFirst="0" w:colLast="0"/>
      <w:bookmarkEnd w:id="1"/>
      <w:r>
        <w:rPr>
          <w:rFonts w:ascii="Arial" w:eastAsia="Arial" w:hAnsi="Arial" w:cs="Arial"/>
          <w:color w:val="FFFFFF"/>
          <w:sz w:val="26"/>
          <w:szCs w:val="26"/>
        </w:rPr>
        <w:t>2. Qeverisja vendore dhe përfaqësimi</w:t>
      </w:r>
    </w:p>
    <w:p w14:paraId="00000007" w14:textId="77777777" w:rsidR="000004AB" w:rsidRDefault="00862CB3">
      <w:pPr>
        <w:pStyle w:val="Heading2"/>
        <w:spacing w:before="80" w:after="40" w:line="252" w:lineRule="auto"/>
        <w:jc w:val="both"/>
      </w:pPr>
      <w:r>
        <w:rPr>
          <w:rFonts w:ascii="Arial" w:eastAsia="Arial" w:hAnsi="Arial" w:cs="Arial"/>
          <w:color w:val="2E5090"/>
          <w:sz w:val="24"/>
          <w:szCs w:val="24"/>
        </w:rPr>
        <w:t>Gjetje kryesore</w:t>
      </w:r>
    </w:p>
    <w:p w14:paraId="00000008" w14:textId="77777777" w:rsidR="000004AB" w:rsidRDefault="00862CB3">
      <w:pPr>
        <w:spacing w:after="60" w:line="252" w:lineRule="auto"/>
        <w:ind w:left="357" w:hanging="142"/>
        <w:jc w:val="both"/>
      </w:pPr>
      <w:r>
        <w:t>● Në qarkun e Vlorës u evidentuan qëndrime të ndryshme mbi efektet e reformës së vitit 2015: disa ndërhyrje theksuan rritje</w:t>
      </w:r>
      <w:r>
        <w:t>n e kapaciteteve dhe investimeve, ndërsa të tjera ngritën shqetësime për largimin e shërbimeve nga komunitetet.</w:t>
      </w:r>
    </w:p>
    <w:p w14:paraId="00000009" w14:textId="77777777" w:rsidR="000004AB" w:rsidRDefault="00862CB3">
      <w:pPr>
        <w:spacing w:after="60" w:line="252" w:lineRule="auto"/>
        <w:ind w:left="357" w:hanging="142"/>
        <w:jc w:val="both"/>
      </w:pPr>
      <w:r>
        <w:t>● Synimi themelor i reformës ishte se bashkitë më të mëdha do të ofronin më shumë zhvillim, më shumë investime dhe shërbime më cilësore për qyte</w:t>
      </w:r>
      <w:r>
        <w:t>tarët, por realiteti në  Qarkun e Vlorës tregon të kundërtën.  Ka nevoje për reforme te re territoriale me synimin rikthimin e vendimmarrjes pranë qytetarit, duke mundësuar shtimin e aftësisë se pushtetit vendor për t’u shërbyer qytetareve pranë vendbanime</w:t>
      </w:r>
      <w:r>
        <w:t xml:space="preserve">ve te tyre dhe jo në bashkitë e mëdha.  </w:t>
      </w:r>
    </w:p>
    <w:p w14:paraId="0000000A" w14:textId="77777777" w:rsidR="000004AB" w:rsidRDefault="00862CB3">
      <w:pPr>
        <w:spacing w:after="60" w:line="252" w:lineRule="auto"/>
        <w:ind w:left="357" w:hanging="142"/>
        <w:jc w:val="both"/>
      </w:pPr>
      <w:r>
        <w:t xml:space="preserve">● Përfaqësimi vendor u lidh ngushtë me demokracinë vendore; u ngrit shqetësimi se disa komunitete, sidomos zonat rurale, bregdetare dhe ato në skajet e qarkut, nuk ndihen mjaftueshëm të përfaqësuara në </w:t>
      </w:r>
      <w:r>
        <w:t>vendimmarrjen bashkiake.</w:t>
      </w:r>
    </w:p>
    <w:p w14:paraId="0000000B" w14:textId="77777777" w:rsidR="000004AB" w:rsidRDefault="00862CB3">
      <w:pPr>
        <w:spacing w:after="60" w:line="252" w:lineRule="auto"/>
        <w:ind w:left="357" w:hanging="142"/>
        <w:jc w:val="both"/>
        <w:rPr>
          <w:color w:val="548DD4"/>
        </w:rPr>
      </w:pPr>
      <w:r>
        <w:rPr>
          <w:sz w:val="22"/>
          <w:szCs w:val="22"/>
        </w:rPr>
        <w:t>●</w:t>
      </w:r>
      <w:r>
        <w:rPr>
          <w:rFonts w:ascii="Times New Roman" w:eastAsia="Times New Roman" w:hAnsi="Times New Roman" w:cs="Times New Roman"/>
          <w:color w:val="C00000"/>
          <w:sz w:val="20"/>
          <w:szCs w:val="20"/>
        </w:rPr>
        <w:t xml:space="preserve"> </w:t>
      </w:r>
      <w:r>
        <w:t>Shkrirja e komunave dhe shndërrimi i tyre në njësi administrative pa kompetenca reale ka dobësuar ndjeshëm përfaqësimin vendor. Njësitë administrative sot nuk marrin vendime, nuk menaxhojnë buxhete dhe nuk ofrojnë shërbime të dre</w:t>
      </w:r>
      <w:r>
        <w:t>jtpërdrejta. Ato janë reduktuar në struktura formale, ndërsa çdo vendimmarrje është përqendruar në qendrën e bashkisë</w:t>
      </w:r>
      <w:r>
        <w:rPr>
          <w:rFonts w:ascii="Times New Roman" w:eastAsia="Times New Roman" w:hAnsi="Times New Roman" w:cs="Times New Roman"/>
          <w:color w:val="C00000"/>
          <w:sz w:val="20"/>
          <w:szCs w:val="20"/>
        </w:rPr>
        <w:t xml:space="preserve">.  </w:t>
      </w:r>
    </w:p>
    <w:p w14:paraId="0000000C" w14:textId="77777777" w:rsidR="000004AB" w:rsidRDefault="00862CB3">
      <w:pPr>
        <w:spacing w:after="60" w:line="252" w:lineRule="auto"/>
        <w:ind w:left="357" w:hanging="142"/>
        <w:jc w:val="both"/>
      </w:pPr>
      <w:r>
        <w:t>● Qarku i Vlorës ka nevojë për një qasje më të diferencuar territoriale, duke marrë parasysh distancat e mëdha, profilin bregdetar, rur</w:t>
      </w:r>
      <w:r>
        <w:t>al, malor, minoritar dhe historik të zonave përbërëse.</w:t>
      </w:r>
    </w:p>
    <w:p w14:paraId="0000000D" w14:textId="77777777" w:rsidR="000004AB" w:rsidRDefault="000004AB">
      <w:pPr>
        <w:spacing w:after="60" w:line="252" w:lineRule="auto"/>
        <w:ind w:left="357" w:hanging="142"/>
        <w:jc w:val="both"/>
      </w:pPr>
    </w:p>
    <w:p w14:paraId="0000000E" w14:textId="77777777" w:rsidR="000004AB" w:rsidRDefault="00862CB3">
      <w:pPr>
        <w:pStyle w:val="Heading2"/>
        <w:spacing w:before="80" w:after="40" w:line="252" w:lineRule="auto"/>
        <w:jc w:val="both"/>
      </w:pPr>
      <w:r>
        <w:rPr>
          <w:rFonts w:ascii="Arial" w:eastAsia="Arial" w:hAnsi="Arial" w:cs="Arial"/>
          <w:color w:val="2E5090"/>
          <w:sz w:val="24"/>
          <w:szCs w:val="24"/>
        </w:rPr>
        <w:t>Gjetje dytësore</w:t>
      </w:r>
    </w:p>
    <w:p w14:paraId="0000000F" w14:textId="77777777" w:rsidR="000004AB" w:rsidRDefault="00862CB3">
      <w:pPr>
        <w:spacing w:after="60" w:line="252" w:lineRule="auto"/>
        <w:ind w:left="357" w:hanging="142"/>
        <w:jc w:val="both"/>
      </w:pPr>
      <w:r>
        <w:t>● Identiteti lokal, historia, trashëgimia kulturore, turizmi, bujqësia, blegtoria, komunitetet minoritare dhe komuniteti çam u përmendën si elemente që ndikojnë drejtpërdrejt në mënyrë</w:t>
      </w:r>
      <w:r>
        <w:t>n si duhet organizuar qeverisja vendore.</w:t>
      </w:r>
    </w:p>
    <w:p w14:paraId="00000010" w14:textId="77777777" w:rsidR="000004AB" w:rsidRDefault="00862CB3">
      <w:pPr>
        <w:spacing w:after="60" w:line="252" w:lineRule="auto"/>
        <w:ind w:left="357" w:hanging="142"/>
        <w:jc w:val="both"/>
      </w:pPr>
      <w:r>
        <w:t>● Orikumi, Dukati, Novosela, Selenica, Konispoli, Finiqi, Delvina, Saranda, Ksamili dhe Himara u përmendën si zona ku organizimi territorial lidhet jo vetëm me shërbimin, por edhe me identitetin, ekonominë dhe dista</w:t>
      </w:r>
      <w:r>
        <w:t>ncën nga qendra administrative.</w:t>
      </w:r>
    </w:p>
    <w:p w14:paraId="00000011" w14:textId="77777777" w:rsidR="000004AB" w:rsidRDefault="00862CB3">
      <w:pPr>
        <w:spacing w:after="60" w:line="252" w:lineRule="auto"/>
        <w:ind w:left="357" w:hanging="142"/>
        <w:jc w:val="both"/>
      </w:pPr>
      <w:r>
        <w:rPr>
          <w:sz w:val="22"/>
          <w:szCs w:val="22"/>
        </w:rPr>
        <w:t>●</w:t>
      </w:r>
      <w:r>
        <w:rPr>
          <w:color w:val="C00000"/>
          <w:sz w:val="22"/>
          <w:szCs w:val="22"/>
        </w:rPr>
        <w:t xml:space="preserve"> </w:t>
      </w:r>
      <w:r>
        <w:t>Largimi i shërbimeve nga qytetari ka sjellë largimin e qytetarit nga territori. Banorët e zonave rurale dhe periferike detyrohen të udhëtojnë dhjetëra kilometra për dokumente, leje, aplikime apo shërbime bazë administrative. Në vend që reforma të afronte s</w:t>
      </w:r>
      <w:r>
        <w:t xml:space="preserve">htetin me qytetarin, ajo e largoi atë.  </w:t>
      </w:r>
    </w:p>
    <w:p w14:paraId="00000012" w14:textId="77777777" w:rsidR="000004AB" w:rsidRDefault="00862CB3">
      <w:pPr>
        <w:spacing w:after="60" w:line="252" w:lineRule="auto"/>
        <w:ind w:left="357" w:hanging="142"/>
        <w:jc w:val="both"/>
      </w:pPr>
      <w:r>
        <w:lastRenderedPageBreak/>
        <w:t>● U ngrit nevoja që konsultimet të zhvillohen më afër komuniteteve, sidomos në zonën e Sarandës dhe në bashkitë jugore të qarkut, për shkak të distancës së madhe nga dëgjesa në Vlorë.</w:t>
      </w:r>
    </w:p>
    <w:p w14:paraId="00000013" w14:textId="77777777" w:rsidR="000004AB" w:rsidRDefault="00862CB3">
      <w:pPr>
        <w:spacing w:after="60" w:line="252" w:lineRule="auto"/>
        <w:ind w:left="357" w:hanging="142"/>
        <w:jc w:val="both"/>
      </w:pPr>
      <w:r>
        <w:t>● Roli i qarkut, prefekturës os</w:t>
      </w:r>
      <w:r>
        <w:t>e një niveli rajonal u diskutua në raport me nevojën për koordinim më të mirë të shërbimeve dhe funksioneve që tejkalojnë kufijtë e një bashkie.</w:t>
      </w:r>
    </w:p>
    <w:p w14:paraId="00000014" w14:textId="77777777" w:rsidR="000004AB" w:rsidRDefault="00862CB3">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2" w:name="_fhawkgunpky7" w:colFirst="0" w:colLast="0"/>
      <w:bookmarkEnd w:id="2"/>
      <w:r>
        <w:rPr>
          <w:rFonts w:ascii="Arial" w:eastAsia="Arial" w:hAnsi="Arial" w:cs="Arial"/>
          <w:color w:val="FFFFFF"/>
          <w:sz w:val="26"/>
          <w:szCs w:val="26"/>
        </w:rPr>
        <w:t>3. Mbështetja ligjore dhe burimet</w:t>
      </w:r>
    </w:p>
    <w:p w14:paraId="00000015" w14:textId="77777777" w:rsidR="000004AB" w:rsidRDefault="00862CB3">
      <w:pPr>
        <w:pStyle w:val="Heading2"/>
        <w:spacing w:before="80" w:after="40" w:line="252" w:lineRule="auto"/>
        <w:jc w:val="both"/>
      </w:pPr>
      <w:bookmarkStart w:id="3" w:name="_bvkd29p0mqn8" w:colFirst="0" w:colLast="0"/>
      <w:bookmarkEnd w:id="3"/>
      <w:r>
        <w:rPr>
          <w:rFonts w:ascii="Arial" w:eastAsia="Arial" w:hAnsi="Arial" w:cs="Arial"/>
          <w:color w:val="2E5090"/>
          <w:sz w:val="24"/>
          <w:szCs w:val="24"/>
        </w:rPr>
        <w:t>Gjetje kryesore</w:t>
      </w:r>
    </w:p>
    <w:p w14:paraId="00000016" w14:textId="77777777" w:rsidR="000004AB" w:rsidRDefault="00862CB3">
      <w:pPr>
        <w:spacing w:after="60" w:line="252" w:lineRule="auto"/>
        <w:ind w:left="357" w:hanging="142"/>
        <w:jc w:val="both"/>
      </w:pPr>
      <w:r>
        <w:t>● Kuadri ligjor duhet të qartësojë më mirë raportin midis fun</w:t>
      </w:r>
      <w:r>
        <w:t>ksioneve, kompetencave dhe burimeve që u jepen bashkive për t’i ushtruar ato në mënyrë efektive.</w:t>
      </w:r>
    </w:p>
    <w:p w14:paraId="00000017" w14:textId="77777777" w:rsidR="000004AB" w:rsidRDefault="00862CB3">
      <w:pPr>
        <w:spacing w:after="60" w:line="252" w:lineRule="auto"/>
        <w:ind w:left="357" w:hanging="142"/>
        <w:jc w:val="both"/>
      </w:pPr>
      <w:r>
        <w:t>● Transferimi ose delegimi i funksioneve kërkon shoqërim të plotë me financim, staf, mjete pune, standarde shërbimi dhe përgjegjësi të matshme.</w:t>
      </w:r>
    </w:p>
    <w:p w14:paraId="00000018" w14:textId="77777777" w:rsidR="000004AB" w:rsidRDefault="00862CB3">
      <w:pPr>
        <w:spacing w:after="60" w:line="252" w:lineRule="auto"/>
        <w:ind w:left="357" w:hanging="142"/>
        <w:jc w:val="both"/>
      </w:pPr>
      <w:r>
        <w:t>● U evidentua n</w:t>
      </w:r>
      <w:r>
        <w:t>evoja për kompetenca që ushtrohen në realitet nga  pushteti vendor, veçanërisht në administrimin e ujësjellësit, territorit, plazheve, bujqësisë, ujitjes, kullimit, pronave publike dhe shërbimeve bazë.</w:t>
      </w:r>
    </w:p>
    <w:p w14:paraId="00000019" w14:textId="50F17FDB" w:rsidR="000004AB" w:rsidRDefault="00862CB3">
      <w:pPr>
        <w:spacing w:after="60" w:line="252" w:lineRule="auto"/>
        <w:ind w:left="357" w:hanging="142"/>
        <w:jc w:val="both"/>
        <w:rPr>
          <w:color w:val="C00000"/>
        </w:rPr>
      </w:pPr>
      <w:r>
        <w:t xml:space="preserve">● </w:t>
      </w:r>
      <w:r w:rsidR="00DE3C31">
        <w:t xml:space="preserve"> M</w:t>
      </w:r>
      <w:r>
        <w:t>e ujësjellësin, kanalizimet, menaxhimin e</w:t>
      </w:r>
      <w:r>
        <w:t xml:space="preserve"> territorit dhe investimet e mirëmbajtjes shpesh pasohen me mosmbajtjen e përgjegjësisë nga pushteti vendor për shkak te paqartësisë se kompetencave reale</w:t>
      </w:r>
      <w:r>
        <w:rPr>
          <w:color w:val="000000"/>
        </w:rPr>
        <w:t xml:space="preserve">. </w:t>
      </w:r>
    </w:p>
    <w:p w14:paraId="0000001A" w14:textId="77777777" w:rsidR="000004AB" w:rsidRDefault="00862CB3">
      <w:pPr>
        <w:spacing w:after="60" w:line="252" w:lineRule="auto"/>
        <w:ind w:left="357" w:hanging="142"/>
        <w:jc w:val="both"/>
      </w:pPr>
      <w:r>
        <w:t>● Kapacitetet njerëzore dhe teknike mbeten kusht për ofrimin efektiv të shërbimeve, por u theksua s</w:t>
      </w:r>
      <w:r>
        <w:t>e mungesa e kapaciteteve nuk duhet të përdoret si arsye për largimin e vendimmarrjes nga komuniteti.</w:t>
      </w:r>
    </w:p>
    <w:p w14:paraId="0000001B" w14:textId="77777777" w:rsidR="000004AB" w:rsidRDefault="000004AB">
      <w:pPr>
        <w:spacing w:after="60" w:line="252" w:lineRule="auto"/>
        <w:ind w:left="357" w:hanging="142"/>
        <w:jc w:val="both"/>
      </w:pPr>
    </w:p>
    <w:p w14:paraId="0000001C" w14:textId="77777777" w:rsidR="000004AB" w:rsidRDefault="000004AB">
      <w:pPr>
        <w:spacing w:after="60" w:line="252" w:lineRule="auto"/>
        <w:ind w:left="357" w:hanging="142"/>
        <w:jc w:val="both"/>
      </w:pPr>
    </w:p>
    <w:p w14:paraId="0000001D" w14:textId="77777777" w:rsidR="000004AB" w:rsidRDefault="00862CB3">
      <w:pPr>
        <w:pStyle w:val="Heading2"/>
        <w:spacing w:before="80" w:after="40" w:line="252" w:lineRule="auto"/>
        <w:jc w:val="both"/>
      </w:pPr>
      <w:r>
        <w:rPr>
          <w:rFonts w:ascii="Arial" w:eastAsia="Arial" w:hAnsi="Arial" w:cs="Arial"/>
          <w:color w:val="2E5090"/>
          <w:sz w:val="24"/>
          <w:szCs w:val="24"/>
        </w:rPr>
        <w:t>Gjetje dytësore</w:t>
      </w:r>
    </w:p>
    <w:p w14:paraId="0000001E" w14:textId="77777777" w:rsidR="000004AB" w:rsidRDefault="00862CB3">
      <w:pPr>
        <w:spacing w:after="60" w:line="252" w:lineRule="auto"/>
        <w:ind w:left="357" w:hanging="142"/>
        <w:jc w:val="both"/>
      </w:pPr>
      <w:r>
        <w:t xml:space="preserve">● Ligjet sektoriale dhe vendimmarrjet qendrore u përmendën si faktorë që mund të kufizojnë autonominë në praktik të bashkive kur nuk </w:t>
      </w:r>
      <w:r>
        <w:t>harmonizohen me ligjin organik të vetëqeverisjes vendore.</w:t>
      </w:r>
    </w:p>
    <w:p w14:paraId="0000001F" w14:textId="77777777" w:rsidR="000004AB" w:rsidRDefault="00862CB3">
      <w:pPr>
        <w:spacing w:after="60" w:line="252" w:lineRule="auto"/>
        <w:ind w:left="357" w:hanging="142"/>
        <w:jc w:val="both"/>
      </w:pPr>
      <w:r>
        <w:t>● Shërbime të tilla si kadastra, transporti, lejet e ndryshme, arsimi, bujqësia dhe administrimi i ujit u përmendën si fusha ku qytetarët shpesh detyrohen të udhëtojnë larg për të marrë shërbim.</w:t>
      </w:r>
    </w:p>
    <w:p w14:paraId="00000020" w14:textId="77777777" w:rsidR="000004AB" w:rsidRDefault="00862CB3">
      <w:pPr>
        <w:spacing w:after="60" w:line="252" w:lineRule="auto"/>
        <w:ind w:left="357" w:hanging="142"/>
        <w:jc w:val="both"/>
      </w:pPr>
      <w:r>
        <w:t>● N</w:t>
      </w:r>
      <w:r>
        <w:t>jësitë administrative dhe kryepleqtë u përmendën si hallka të rëndësishme për lidhjen e bashkisë me komunitetin, por kërkojnë rol më funksional, burime minimale dhe mekanizma të qartë raportimi.</w:t>
      </w:r>
    </w:p>
    <w:p w14:paraId="00000021" w14:textId="77777777" w:rsidR="000004AB" w:rsidRDefault="00862CB3">
      <w:pPr>
        <w:spacing w:after="60" w:line="252" w:lineRule="auto"/>
        <w:ind w:left="357" w:hanging="142"/>
        <w:jc w:val="both"/>
      </w:pPr>
      <w:r>
        <w:t>● Për bashkitë me profil minoritar ose identitar, si Finiqi d</w:t>
      </w:r>
      <w:r>
        <w:t>he Konispoli, u kërkua që çdo riorganizim të respektojë standardet e përfaqësimit, traditën dhe veçoritë komunitare.</w:t>
      </w:r>
    </w:p>
    <w:p w14:paraId="00000022" w14:textId="77777777" w:rsidR="000004AB" w:rsidRDefault="00862CB3">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4" w:name="_rwblnvq8mhnb" w:colFirst="0" w:colLast="0"/>
      <w:bookmarkEnd w:id="4"/>
      <w:r>
        <w:rPr>
          <w:rFonts w:ascii="Arial" w:eastAsia="Arial" w:hAnsi="Arial" w:cs="Arial"/>
          <w:color w:val="FFFFFF"/>
          <w:sz w:val="26"/>
          <w:szCs w:val="26"/>
        </w:rPr>
        <w:t>4. Funksionet, kompetencat dhe shërbimet</w:t>
      </w:r>
    </w:p>
    <w:p w14:paraId="00000023" w14:textId="77777777" w:rsidR="000004AB" w:rsidRDefault="00862CB3">
      <w:pPr>
        <w:pStyle w:val="Heading2"/>
        <w:spacing w:before="80" w:after="40" w:line="252" w:lineRule="auto"/>
        <w:jc w:val="both"/>
      </w:pPr>
      <w:r>
        <w:rPr>
          <w:rFonts w:ascii="Arial" w:eastAsia="Arial" w:hAnsi="Arial" w:cs="Arial"/>
          <w:color w:val="2E5090"/>
          <w:sz w:val="24"/>
          <w:szCs w:val="24"/>
        </w:rPr>
        <w:t>Gjetje kryesore</w:t>
      </w:r>
    </w:p>
    <w:p w14:paraId="00000024" w14:textId="010A0D0B" w:rsidR="000004AB" w:rsidRDefault="00862CB3">
      <w:pPr>
        <w:spacing w:after="60" w:line="252" w:lineRule="auto"/>
        <w:ind w:left="357" w:hanging="142"/>
        <w:jc w:val="both"/>
      </w:pPr>
      <w:r>
        <w:t xml:space="preserve">● </w:t>
      </w:r>
      <w:r w:rsidR="00DE3C31">
        <w:t>S</w:t>
      </w:r>
      <w:r>
        <w:t>e janë përmirësuar në disa bashki dh</w:t>
      </w:r>
      <w:r>
        <w:t>e njësi administrative, por cilësia, afërsia dhe vazhdimësia e tyre nuk perceptohen njësoj në të gjithë qarkun.</w:t>
      </w:r>
    </w:p>
    <w:p w14:paraId="00000025" w14:textId="77777777" w:rsidR="000004AB" w:rsidRDefault="00862CB3">
      <w:pPr>
        <w:spacing w:after="60" w:line="252" w:lineRule="auto"/>
        <w:ind w:left="357" w:hanging="142"/>
        <w:jc w:val="both"/>
      </w:pPr>
      <w:r>
        <w:t>● Ujësjellësi u trajtua si shërbim me rezultat të përzier: në disa zona u vlerësua përmirësimi i treguesve, ndërsa në të tjera u ngrit shqetësim</w:t>
      </w:r>
      <w:r>
        <w:t>i se organizimi i centralizuar ose rajonal ka dobësuar llogaridhënien dhe afërsinë me qytetarin.</w:t>
      </w:r>
    </w:p>
    <w:p w14:paraId="00000026" w14:textId="77777777" w:rsidR="000004AB" w:rsidRDefault="00862CB3">
      <w:pPr>
        <w:spacing w:after="0" w:line="252" w:lineRule="auto"/>
        <w:ind w:left="357" w:hanging="142"/>
        <w:jc w:val="both"/>
      </w:pPr>
      <w:r>
        <w:t xml:space="preserve">● Rrugët rurale, furnizimi me ujë, ujitja, kullimi, menaxhimi i mbetjeve, kanalizimet, transporti, mirëmbajtja e shkollave dhe qasja në dokumentacion përbëjnë </w:t>
      </w:r>
      <w:r>
        <w:t>fushat ku qytetari mat më drejtpërdrejt funksionimin e bashkisë.</w:t>
      </w:r>
    </w:p>
    <w:p w14:paraId="00000027" w14:textId="77777777" w:rsidR="000004AB" w:rsidRDefault="00862CB3">
      <w:pPr>
        <w:spacing w:after="60" w:line="252" w:lineRule="auto"/>
        <w:ind w:left="357" w:hanging="142"/>
        <w:jc w:val="both"/>
      </w:pPr>
      <w:r>
        <w:lastRenderedPageBreak/>
        <w:t xml:space="preserve">● Në zonat bregdetare dhe turistike, shërbimet vendore duhet të përshtaten me ngarkesën sezonale, menaxhimin e plazheve, infrastrukturën turistike, mbetjet, trafikun dhe nevojën për shërbime </w:t>
      </w:r>
      <w:r>
        <w:t>më të shpejta administrative.</w:t>
      </w:r>
    </w:p>
    <w:p w14:paraId="00000028" w14:textId="77777777" w:rsidR="000004AB" w:rsidRDefault="00862CB3">
      <w:pPr>
        <w:spacing w:after="60" w:line="252" w:lineRule="auto"/>
        <w:ind w:left="357" w:hanging="142"/>
        <w:jc w:val="both"/>
      </w:pPr>
      <w:r>
        <w:rPr>
          <w:color w:val="000000"/>
        </w:rPr>
        <w:t>● Mungesa e investimeve, dobësimi i përfaqësimit lokal dhe përqendrimi i burimeve në qendrat urbane kanë përshpejtuar braktisjen e zonave rurale. Shumë fshatra sot kanë më pak banorë, më pak shërbime dhe më pak perspektivë ses</w:t>
      </w:r>
      <w:r>
        <w:rPr>
          <w:color w:val="000000"/>
        </w:rPr>
        <w:t>a para reformës.</w:t>
      </w:r>
    </w:p>
    <w:p w14:paraId="00000029" w14:textId="77777777" w:rsidR="000004AB" w:rsidRDefault="00862CB3">
      <w:pPr>
        <w:spacing w:after="60" w:line="252" w:lineRule="auto"/>
        <w:ind w:left="357" w:hanging="142"/>
        <w:jc w:val="both"/>
      </w:pPr>
      <w:r>
        <w:t>● Qeverisja vendore nuk duhet të vlerësohet vetëm mbi bazën e madhësisë së bashkisë, por mbi aftësinë e saj për t’u shërbyer qytetarëve në vendbanimet e tyre.</w:t>
      </w:r>
    </w:p>
    <w:p w14:paraId="0000002A" w14:textId="77777777" w:rsidR="000004AB" w:rsidRDefault="000004AB">
      <w:pPr>
        <w:spacing w:after="60" w:line="252" w:lineRule="auto"/>
        <w:ind w:left="357" w:hanging="142"/>
        <w:jc w:val="both"/>
      </w:pPr>
    </w:p>
    <w:p w14:paraId="0000002B" w14:textId="77777777" w:rsidR="000004AB" w:rsidRDefault="00862CB3">
      <w:pPr>
        <w:pStyle w:val="Heading2"/>
        <w:spacing w:before="80" w:after="40" w:line="252" w:lineRule="auto"/>
        <w:jc w:val="both"/>
      </w:pPr>
      <w:r>
        <w:rPr>
          <w:rFonts w:ascii="Arial" w:eastAsia="Arial" w:hAnsi="Arial" w:cs="Arial"/>
          <w:color w:val="2E5090"/>
          <w:sz w:val="24"/>
          <w:szCs w:val="24"/>
        </w:rPr>
        <w:t>Gjetje dytësore</w:t>
      </w:r>
    </w:p>
    <w:p w14:paraId="0000002C" w14:textId="77777777" w:rsidR="000004AB" w:rsidRDefault="00862CB3">
      <w:pPr>
        <w:spacing w:after="60" w:line="252" w:lineRule="auto"/>
        <w:ind w:left="357" w:hanging="142"/>
        <w:jc w:val="both"/>
      </w:pPr>
      <w:r>
        <w:t xml:space="preserve">● Bujqësia dhe blegtoria në Selenicë, Konispol, </w:t>
      </w:r>
      <w:r>
        <w:t>Novoselë, Delvinë dhe zona të tjera kërkojnë mbështetje më të qartë vendore, koordinim institucional dhe instrumente për ujitjen, kullimin, kullotat, subvencionet dhe daljen në treg.</w:t>
      </w:r>
    </w:p>
    <w:p w14:paraId="0000002D" w14:textId="77777777" w:rsidR="000004AB" w:rsidRDefault="00862CB3">
      <w:pPr>
        <w:spacing w:after="60" w:line="252" w:lineRule="auto"/>
        <w:ind w:left="357" w:hanging="142"/>
        <w:jc w:val="both"/>
      </w:pPr>
      <w:r>
        <w:t>● Sistemet e ujitjes dhe kullimit u përmendën si fusha ku bashkitë kanë p</w:t>
      </w:r>
      <w:r>
        <w:t>ërgjegjësi praktike, por përballen me probleme të pronësisë, mirëmbajtjes, mbetjeve në kanale dhe mungesës së ndërhyrjeve në shtretërit e lumenjve.</w:t>
      </w:r>
    </w:p>
    <w:p w14:paraId="0000002E" w14:textId="77777777" w:rsidR="000004AB" w:rsidRDefault="00862CB3">
      <w:pPr>
        <w:spacing w:after="60" w:line="252" w:lineRule="auto"/>
        <w:ind w:left="357" w:hanging="142"/>
        <w:jc w:val="both"/>
      </w:pPr>
      <w:r>
        <w:t>● Vjosa, Shushica, zonat e mbrojtura, bregdeti, malet dhe pasuritë natyrore kërkojnë koordinim ndërinstituci</w:t>
      </w:r>
      <w:r>
        <w:t>onal, sepse ndikojnë drejtpërdrejt te tokat bujqësore, turizmi, siguria dhe ekonomia lokale.</w:t>
      </w:r>
    </w:p>
    <w:p w14:paraId="0000002F" w14:textId="77777777" w:rsidR="000004AB" w:rsidRDefault="00862CB3">
      <w:pPr>
        <w:spacing w:after="60" w:line="252" w:lineRule="auto"/>
        <w:ind w:left="357" w:hanging="142"/>
        <w:jc w:val="both"/>
      </w:pPr>
      <w:r>
        <w:t xml:space="preserve">● Trashëgimia kulturore, Butrinti, Ksamili, Himara, Orikumi, Dukati, Konispoli, Finiqi dhe Delvina kërkojnë shërbime të integruara që lidhin turizmin, identitetin </w:t>
      </w:r>
      <w:r>
        <w:t>dhe administrimin vendor.</w:t>
      </w:r>
    </w:p>
    <w:p w14:paraId="00000030" w14:textId="77777777" w:rsidR="000004AB" w:rsidRDefault="00862CB3">
      <w:pPr>
        <w:spacing w:after="60" w:line="252" w:lineRule="auto"/>
        <w:ind w:left="357" w:hanging="142"/>
        <w:jc w:val="both"/>
      </w:pPr>
      <w:r>
        <w:t>● U ngrit nevoja që bashkitë të mos trajtohen vetëm si njësi që duhet të dalin financiarisht me rezultat pozitiv, por si institucione publike që kanë detyrë të garantojnë shërbim dhe llogaridhënie ndaj qytetarit.</w:t>
      </w:r>
    </w:p>
    <w:p w14:paraId="00000031" w14:textId="4BD15344" w:rsidR="000004AB" w:rsidRDefault="00862CB3">
      <w:pPr>
        <w:spacing w:after="60" w:line="252" w:lineRule="auto"/>
        <w:ind w:left="357" w:hanging="142"/>
        <w:jc w:val="both"/>
      </w:pPr>
      <w:r>
        <w:t xml:space="preserve">● </w:t>
      </w:r>
      <w:r w:rsidR="00DE3C31">
        <w:t>S</w:t>
      </w:r>
      <w:r>
        <w:t>e shqetësimi kryesor i qytetarëve lidhet me mungesën e afërsisë së shërbimeve, përfaqësimin e pamjaftueshëm të komuniteteve rurale, distancat e konsiderueshme nga qendrat administrative dhe nevojën për një organizim territorial që resp</w:t>
      </w:r>
      <w:r>
        <w:t xml:space="preserve">ekton identitetin, historinë dhe veçoritë ekonomike të zonave.  </w:t>
      </w:r>
    </w:p>
    <w:p w14:paraId="00000032" w14:textId="77777777" w:rsidR="000004AB" w:rsidRDefault="000004AB">
      <w:pPr>
        <w:spacing w:after="60" w:line="252" w:lineRule="auto"/>
        <w:jc w:val="both"/>
      </w:pPr>
    </w:p>
    <w:p w14:paraId="00000033" w14:textId="77777777" w:rsidR="000004AB" w:rsidRDefault="00862CB3">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5" w:name="_r9ztsxhk3cpv" w:colFirst="0" w:colLast="0"/>
      <w:bookmarkEnd w:id="5"/>
      <w:r>
        <w:rPr>
          <w:rFonts w:ascii="Arial" w:eastAsia="Arial" w:hAnsi="Arial" w:cs="Arial"/>
          <w:color w:val="FFFFFF"/>
          <w:sz w:val="26"/>
          <w:szCs w:val="26"/>
        </w:rPr>
        <w:t>5. Parimet e financimit të njësive të qeverisjes vendore</w:t>
      </w:r>
    </w:p>
    <w:p w14:paraId="00000034" w14:textId="77777777" w:rsidR="000004AB" w:rsidRDefault="00862CB3">
      <w:pPr>
        <w:pStyle w:val="Heading2"/>
        <w:pBdr>
          <w:top w:val="nil"/>
          <w:left w:val="nil"/>
          <w:bottom w:val="nil"/>
          <w:right w:val="nil"/>
          <w:between w:val="nil"/>
        </w:pBdr>
        <w:spacing w:before="80" w:after="40" w:line="252" w:lineRule="auto"/>
        <w:jc w:val="both"/>
        <w:rPr>
          <w:rFonts w:ascii="Arial" w:eastAsia="Arial" w:hAnsi="Arial" w:cs="Arial"/>
          <w:color w:val="2E5090"/>
          <w:sz w:val="24"/>
          <w:szCs w:val="24"/>
        </w:rPr>
      </w:pPr>
      <w:r>
        <w:rPr>
          <w:rFonts w:ascii="Arial" w:eastAsia="Arial" w:hAnsi="Arial" w:cs="Arial"/>
          <w:color w:val="2E5090"/>
          <w:sz w:val="24"/>
          <w:szCs w:val="24"/>
        </w:rPr>
        <w:t>Gjetje kryesore</w:t>
      </w:r>
    </w:p>
    <w:p w14:paraId="00000035" w14:textId="77777777" w:rsidR="000004AB" w:rsidRDefault="00862CB3">
      <w:pPr>
        <w:spacing w:after="60" w:line="252" w:lineRule="auto"/>
        <w:ind w:left="357"/>
        <w:jc w:val="both"/>
      </w:pPr>
      <w:r>
        <w:t xml:space="preserve">● Financimi vendor u trajtua si kusht themelor për autonominë reale të bashkive dhe për aftësinë e tyre për të </w:t>
      </w:r>
      <w:r>
        <w:t>ofruar shërbime cilësore në të gjithë territorin.</w:t>
      </w:r>
    </w:p>
    <w:p w14:paraId="00000036" w14:textId="77777777" w:rsidR="000004AB" w:rsidRDefault="00862CB3">
      <w:pPr>
        <w:spacing w:after="0"/>
        <w:ind w:left="357"/>
        <w:jc w:val="both"/>
        <w:rPr>
          <w:rFonts w:ascii="Times New Roman" w:eastAsia="Times New Roman" w:hAnsi="Times New Roman" w:cs="Times New Roman"/>
          <w:color w:val="548DD4"/>
          <w:sz w:val="20"/>
          <w:szCs w:val="20"/>
        </w:rPr>
      </w:pPr>
      <w:r>
        <w:rPr>
          <w:color w:val="000000"/>
        </w:rPr>
        <w:t>●</w:t>
      </w:r>
      <w:r>
        <w:rPr>
          <w:rFonts w:ascii="Times New Roman" w:eastAsia="Times New Roman" w:hAnsi="Times New Roman" w:cs="Times New Roman"/>
          <w:color w:val="C00000"/>
          <w:sz w:val="22"/>
          <w:szCs w:val="22"/>
        </w:rPr>
        <w:t xml:space="preserve"> </w:t>
      </w:r>
      <w:r>
        <w:t>Bashkitë e mëdha nuk kanë sjellë domosdoshmërisht kursime apo më shumë investime. Një pjesë e konsiderueshme e buxheteve vendore shkon për paga dhe mirëmbajtje të administratës, ndërsa fondet për investim</w:t>
      </w:r>
      <w:r>
        <w:t>e konkrete në infrastrukturë, bujqësi, ujitje, kullim dhe zhvillim ekonomik lokal mbeten të pamjaftueshme</w:t>
      </w:r>
      <w:r>
        <w:rPr>
          <w:rFonts w:ascii="Times New Roman" w:eastAsia="Times New Roman" w:hAnsi="Times New Roman" w:cs="Times New Roman"/>
          <w:color w:val="C00000"/>
          <w:sz w:val="20"/>
          <w:szCs w:val="20"/>
        </w:rPr>
        <w:t xml:space="preserve">. </w:t>
      </w:r>
    </w:p>
    <w:p w14:paraId="00000037" w14:textId="77777777" w:rsidR="000004AB" w:rsidRDefault="00862CB3">
      <w:pPr>
        <w:spacing w:after="0" w:line="252" w:lineRule="auto"/>
        <w:ind w:left="357"/>
        <w:jc w:val="both"/>
      </w:pPr>
      <w:r>
        <w:t>● Formula e financimit duhet të reflektojë më mirë sipërfaqen, distancën, terrenin malor, profilin bregdetar, fluksin turistik, zonat rurale, komuni</w:t>
      </w:r>
      <w:r>
        <w:t>tetet me veçori të posaçme dhe kostot reale të shërbimit.</w:t>
      </w:r>
    </w:p>
    <w:p w14:paraId="00000038" w14:textId="77777777" w:rsidR="000004AB" w:rsidRDefault="00862CB3">
      <w:pPr>
        <w:spacing w:after="60" w:line="252" w:lineRule="auto"/>
        <w:ind w:left="357"/>
        <w:jc w:val="both"/>
      </w:pPr>
      <w:r>
        <w:lastRenderedPageBreak/>
        <w:t>● Të ardhurat nga turizmi, renta minerare, pasuritë natyrore, plazhet, portet, bujqësia dhe aktivitetet ekonomike në territor duhet të lidhen më qartë me investimet dhe shërbimet që marrin komunitet</w:t>
      </w:r>
      <w:r>
        <w:t>et ku gjenerohen këto të ardhura.</w:t>
      </w:r>
    </w:p>
    <w:p w14:paraId="00000039" w14:textId="77777777" w:rsidR="000004AB" w:rsidRDefault="00862CB3">
      <w:pPr>
        <w:spacing w:after="60" w:line="252" w:lineRule="auto"/>
        <w:ind w:left="357" w:hanging="142"/>
        <w:jc w:val="both"/>
      </w:pPr>
      <w:r>
        <w:t xml:space="preserve">● Autonomia financiare kërkon jo vetëm rritje të fondeve, por edhe fleksibilitet në përdorim, parashikueshmëri, ndarje të drejtë të granteve dhe lidhje të qartë midis taksave vendore dhe shërbimeve konkrete. </w:t>
      </w:r>
    </w:p>
    <w:p w14:paraId="0000003A" w14:textId="77777777" w:rsidR="000004AB" w:rsidRDefault="000004AB">
      <w:pPr>
        <w:spacing w:after="60" w:line="252" w:lineRule="auto"/>
        <w:ind w:left="357" w:hanging="142"/>
        <w:jc w:val="both"/>
      </w:pPr>
    </w:p>
    <w:p w14:paraId="0000003B" w14:textId="77777777" w:rsidR="000004AB" w:rsidRDefault="00862CB3">
      <w:pPr>
        <w:pStyle w:val="Heading2"/>
        <w:pBdr>
          <w:top w:val="nil"/>
          <w:left w:val="nil"/>
          <w:bottom w:val="nil"/>
          <w:right w:val="nil"/>
          <w:between w:val="nil"/>
        </w:pBdr>
        <w:spacing w:before="80" w:after="40" w:line="252" w:lineRule="auto"/>
        <w:jc w:val="both"/>
        <w:rPr>
          <w:rFonts w:ascii="Arial" w:eastAsia="Arial" w:hAnsi="Arial" w:cs="Arial"/>
          <w:color w:val="2E5090"/>
          <w:sz w:val="24"/>
          <w:szCs w:val="24"/>
        </w:rPr>
      </w:pPr>
      <w:r>
        <w:rPr>
          <w:rFonts w:ascii="Arial" w:eastAsia="Arial" w:hAnsi="Arial" w:cs="Arial"/>
          <w:color w:val="2E5090"/>
          <w:sz w:val="24"/>
          <w:szCs w:val="24"/>
        </w:rPr>
        <w:t>Gjetje dytës</w:t>
      </w:r>
      <w:r>
        <w:rPr>
          <w:rFonts w:ascii="Arial" w:eastAsia="Arial" w:hAnsi="Arial" w:cs="Arial"/>
          <w:color w:val="2E5090"/>
          <w:sz w:val="24"/>
          <w:szCs w:val="24"/>
        </w:rPr>
        <w:t>ore</w:t>
      </w:r>
    </w:p>
    <w:p w14:paraId="0000003C" w14:textId="77777777" w:rsidR="000004AB" w:rsidRDefault="00862CB3">
      <w:pPr>
        <w:spacing w:after="60" w:line="252" w:lineRule="auto"/>
        <w:ind w:left="357" w:hanging="142"/>
        <w:jc w:val="both"/>
      </w:pPr>
      <w:r>
        <w:t>● Bashkitë me territor të gjerë rural ose malor, si Selenica dhe Konispoli, u përmendën si njësi që kanë kosto të larta shërbimi për shkak të shpërndarjes së popullsisë dhe natyrës së territorit.</w:t>
      </w:r>
    </w:p>
    <w:p w14:paraId="0000003D" w14:textId="77777777" w:rsidR="000004AB" w:rsidRDefault="00862CB3">
      <w:pPr>
        <w:spacing w:after="60" w:line="252" w:lineRule="auto"/>
        <w:ind w:left="357" w:hanging="142"/>
        <w:jc w:val="both"/>
      </w:pPr>
      <w:r>
        <w:t>● Zonat turistike si Vlora, Himara, Saranda, Ksamili dhe</w:t>
      </w:r>
      <w:r>
        <w:t xml:space="preserve"> Orikumi gjenerojnë të ardhura të konsiderueshme, por kërkojnë edhe shpenzime më të larta për shërbime sezonale dhe infrastrukturë publike.</w:t>
      </w:r>
    </w:p>
    <w:p w14:paraId="0000003E" w14:textId="77777777" w:rsidR="000004AB" w:rsidRDefault="00862CB3">
      <w:pPr>
        <w:spacing w:after="60" w:line="252" w:lineRule="auto"/>
        <w:ind w:left="357" w:hanging="142"/>
        <w:jc w:val="both"/>
      </w:pPr>
      <w:r>
        <w:t>● U ngrit nevoja që investimet të orientohen sipas funksionit ekonomik të zonës, përfshirë turizmin, bujqësinë, bleg</w:t>
      </w:r>
      <w:r>
        <w:t>torinë, energjinë, mineralet dhe agroturizmin.</w:t>
      </w:r>
    </w:p>
    <w:p w14:paraId="0000003F" w14:textId="77777777" w:rsidR="000004AB" w:rsidRDefault="00862CB3">
      <w:pPr>
        <w:spacing w:after="60" w:line="252" w:lineRule="auto"/>
        <w:ind w:left="357" w:hanging="142"/>
        <w:jc w:val="both"/>
      </w:pPr>
      <w:r>
        <w:t>● Financimi i funksioneve të deleguara, si digat, ujitja, kullimi dhe mirëmbajtja e aseteve, duhet të jetë i plotë dhe jo vetëm formal.</w:t>
      </w:r>
    </w:p>
    <w:p w14:paraId="00000040" w14:textId="77777777" w:rsidR="000004AB" w:rsidRDefault="00862CB3">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6" w:name="_hg3ffamnwr6e" w:colFirst="0" w:colLast="0"/>
      <w:bookmarkEnd w:id="6"/>
      <w:r>
        <w:rPr>
          <w:rFonts w:ascii="Arial" w:eastAsia="Arial" w:hAnsi="Arial" w:cs="Arial"/>
          <w:color w:val="FFFFFF"/>
          <w:sz w:val="26"/>
          <w:szCs w:val="26"/>
        </w:rPr>
        <w:t>6. Transparenca dhe llogaridhënia</w:t>
      </w:r>
    </w:p>
    <w:p w14:paraId="00000041" w14:textId="77777777" w:rsidR="000004AB" w:rsidRDefault="00862CB3">
      <w:pPr>
        <w:pStyle w:val="Heading2"/>
        <w:pBdr>
          <w:top w:val="nil"/>
          <w:left w:val="nil"/>
          <w:bottom w:val="nil"/>
          <w:right w:val="nil"/>
          <w:between w:val="nil"/>
        </w:pBdr>
        <w:spacing w:before="80" w:after="40" w:line="252" w:lineRule="auto"/>
        <w:jc w:val="both"/>
        <w:rPr>
          <w:rFonts w:ascii="Arial" w:eastAsia="Arial" w:hAnsi="Arial" w:cs="Arial"/>
          <w:color w:val="2E5090"/>
          <w:sz w:val="24"/>
          <w:szCs w:val="24"/>
        </w:rPr>
      </w:pPr>
      <w:r>
        <w:rPr>
          <w:rFonts w:ascii="Arial" w:eastAsia="Arial" w:hAnsi="Arial" w:cs="Arial"/>
          <w:color w:val="2E5090"/>
          <w:sz w:val="24"/>
          <w:szCs w:val="24"/>
        </w:rPr>
        <w:t>Gjetje kryesore</w:t>
      </w:r>
    </w:p>
    <w:p w14:paraId="00000042" w14:textId="77777777" w:rsidR="000004AB" w:rsidRDefault="00862CB3">
      <w:pPr>
        <w:spacing w:after="60" w:line="252" w:lineRule="auto"/>
        <w:ind w:left="357" w:hanging="142"/>
        <w:jc w:val="both"/>
      </w:pPr>
      <w:r>
        <w:t xml:space="preserve">● Qytetari ka </w:t>
      </w:r>
      <w:r>
        <w:t>nevojë për informacion të qartë mbi përgjegjësinë për çdo shërbim: kush vendos, kush financon, kush zbaton dhe kush mban përgjegjësi kur shërbimi mungon ose është i pamjaftueshëm.</w:t>
      </w:r>
    </w:p>
    <w:p w14:paraId="00000043" w14:textId="77777777" w:rsidR="000004AB" w:rsidRDefault="00862CB3">
      <w:pPr>
        <w:spacing w:after="60" w:line="252" w:lineRule="auto"/>
        <w:ind w:left="357" w:hanging="142"/>
        <w:jc w:val="both"/>
        <w:rPr>
          <w:color w:val="1F497D"/>
        </w:rPr>
      </w:pPr>
      <w:r>
        <w:t>● Llogaridhënia dobësohet kur kompetencat largohen nga bashkia, kur shërbime</w:t>
      </w:r>
      <w:r>
        <w:t xml:space="preserve">t varen nga struktura të largëta dhe kur njësitë administrative nuk kanë rol të mjaftueshëm vendimmarrës. Për këtë arsye, reforma e re territoriale duhet të synojë rikthimin e vendimmarrjes pranë qytetarit, fuqizimin e njësive vendore me kompetenca reale, </w:t>
      </w:r>
      <w:r>
        <w:t>buxhete të dedikuara dhe përgjegjësi të qarta.</w:t>
      </w:r>
      <w:r>
        <w:rPr>
          <w:rFonts w:ascii="Times New Roman" w:eastAsia="Times New Roman" w:hAnsi="Times New Roman" w:cs="Times New Roman"/>
          <w:sz w:val="20"/>
          <w:szCs w:val="20"/>
        </w:rPr>
        <w:t xml:space="preserve"> </w:t>
      </w:r>
    </w:p>
    <w:p w14:paraId="00000044" w14:textId="77777777" w:rsidR="000004AB" w:rsidRDefault="00862CB3">
      <w:pPr>
        <w:spacing w:after="60" w:line="252" w:lineRule="auto"/>
        <w:ind w:left="357" w:hanging="142"/>
        <w:jc w:val="both"/>
      </w:pPr>
      <w:r>
        <w:t>● Përfaqësimi në këshillat bashkiakë dhe roli i administratorëve vendorë u përmendën si mekanizma kyç për të matur sa realisht dëgjohet qytetari në vendimmarrjen vendore.</w:t>
      </w:r>
    </w:p>
    <w:p w14:paraId="00000045" w14:textId="77777777" w:rsidR="000004AB" w:rsidRDefault="00862CB3">
      <w:pPr>
        <w:spacing w:after="60" w:line="252" w:lineRule="auto"/>
        <w:ind w:left="357" w:hanging="142"/>
        <w:jc w:val="both"/>
      </w:pPr>
      <w:r>
        <w:t xml:space="preserve">● Procesi i reformës duhet të </w:t>
      </w:r>
      <w:r>
        <w:t>mbështetet në të dhëna të verifikueshme, konsultim real dhe kritere të qarta, në mënyrë që gjetjet e dëgjesave të reflektohen në analizën përfundimtare.</w:t>
      </w:r>
    </w:p>
    <w:p w14:paraId="00000046" w14:textId="77777777" w:rsidR="000004AB" w:rsidRDefault="000004AB">
      <w:pPr>
        <w:spacing w:after="60" w:line="252" w:lineRule="auto"/>
        <w:ind w:left="357" w:hanging="142"/>
        <w:jc w:val="both"/>
      </w:pPr>
    </w:p>
    <w:p w14:paraId="00000047" w14:textId="77777777" w:rsidR="000004AB" w:rsidRDefault="00862CB3">
      <w:pPr>
        <w:pStyle w:val="Heading2"/>
        <w:pBdr>
          <w:top w:val="nil"/>
          <w:left w:val="nil"/>
          <w:bottom w:val="nil"/>
          <w:right w:val="nil"/>
          <w:between w:val="nil"/>
        </w:pBdr>
        <w:spacing w:before="80" w:after="40" w:line="252" w:lineRule="auto"/>
        <w:jc w:val="both"/>
        <w:rPr>
          <w:rFonts w:ascii="Arial" w:eastAsia="Arial" w:hAnsi="Arial" w:cs="Arial"/>
          <w:color w:val="2E5090"/>
          <w:sz w:val="24"/>
          <w:szCs w:val="24"/>
        </w:rPr>
      </w:pPr>
      <w:r>
        <w:rPr>
          <w:rFonts w:ascii="Arial" w:eastAsia="Arial" w:hAnsi="Arial" w:cs="Arial"/>
          <w:color w:val="2E5090"/>
          <w:sz w:val="24"/>
          <w:szCs w:val="24"/>
        </w:rPr>
        <w:t>Gjetje dytësore</w:t>
      </w:r>
    </w:p>
    <w:p w14:paraId="00000048" w14:textId="77777777" w:rsidR="000004AB" w:rsidRDefault="00862CB3">
      <w:pPr>
        <w:spacing w:after="60" w:line="252" w:lineRule="auto"/>
        <w:ind w:left="357" w:hanging="142"/>
        <w:jc w:val="both"/>
      </w:pPr>
      <w:r>
        <w:t>● U kërkua që konsultimet të mos kufizohen vetëm në qendrën e qarkut, por të zhvillohe</w:t>
      </w:r>
      <w:r>
        <w:t>n edhe në Sarandë, Konispol, Delvinë, Finiq, Himarë, Selenicë dhe zona të tjera ku distanca nga vendi i organizimit të dëgjesës ndikon në pjesëmarrje.</w:t>
      </w:r>
    </w:p>
    <w:p w14:paraId="00000049" w14:textId="77777777" w:rsidR="000004AB" w:rsidRDefault="00862CB3">
      <w:pPr>
        <w:spacing w:after="60" w:line="252" w:lineRule="auto"/>
        <w:ind w:left="357" w:hanging="142"/>
        <w:jc w:val="both"/>
      </w:pPr>
      <w:r>
        <w:t>● Transparenca financiare duhet të tregojë më qartë të ardhurat që mblidhen në çdo territor, investimet q</w:t>
      </w:r>
      <w:r>
        <w:t>ë rikthehen në atë territor dhe arsyetimin për prioritetet buxhetore.</w:t>
      </w:r>
    </w:p>
    <w:p w14:paraId="0000004A" w14:textId="77777777" w:rsidR="000004AB" w:rsidRDefault="00862CB3">
      <w:pPr>
        <w:spacing w:after="60" w:line="252" w:lineRule="auto"/>
        <w:ind w:left="357" w:hanging="142"/>
        <w:jc w:val="both"/>
      </w:pPr>
      <w:r>
        <w:t>● Konsultimet publike duhet të përfshijnë jo vetëm përfaqësues politikë dhe administrativë, por edhe qytetarë, fermerë, biznese, grupe vulnerabël, komunitete minoritare dhe aktorë lokalë</w:t>
      </w:r>
      <w:r>
        <w:t xml:space="preserve"> që preken drejtpërdrejt nga shërbimet.</w:t>
      </w:r>
    </w:p>
    <w:p w14:paraId="0000004B" w14:textId="77777777" w:rsidR="000004AB" w:rsidRDefault="00862CB3">
      <w:pPr>
        <w:spacing w:after="60" w:line="252" w:lineRule="auto"/>
        <w:ind w:left="357" w:hanging="142"/>
        <w:jc w:val="both"/>
      </w:pPr>
      <w:r>
        <w:t>● Një reformë e qëndrueshme kërkon balancë midis ekonomisë së shkallës, identitetit lokal, afërsisë së shërbimit, kapaciteteve administrative dhe llogaridhënies demokratike.</w:t>
      </w:r>
    </w:p>
    <w:p w14:paraId="0000004C" w14:textId="77777777" w:rsidR="000004AB" w:rsidRDefault="000004AB">
      <w:pPr>
        <w:spacing w:after="60" w:line="252" w:lineRule="auto"/>
        <w:ind w:left="357" w:hanging="142"/>
        <w:jc w:val="both"/>
      </w:pPr>
    </w:p>
    <w:p w14:paraId="0000004D" w14:textId="77777777" w:rsidR="000004AB" w:rsidRDefault="000004AB">
      <w:pPr>
        <w:spacing w:after="60" w:line="252" w:lineRule="auto"/>
        <w:ind w:left="357" w:hanging="142"/>
        <w:jc w:val="both"/>
      </w:pPr>
    </w:p>
    <w:p w14:paraId="0000004E" w14:textId="77777777" w:rsidR="000004AB" w:rsidRDefault="000004AB">
      <w:pPr>
        <w:spacing w:after="60" w:line="252" w:lineRule="auto"/>
        <w:ind w:left="357" w:hanging="142"/>
        <w:jc w:val="both"/>
      </w:pPr>
    </w:p>
    <w:p w14:paraId="0000004F" w14:textId="77777777" w:rsidR="000004AB" w:rsidRDefault="000004AB">
      <w:pPr>
        <w:spacing w:after="60" w:line="252" w:lineRule="auto"/>
        <w:ind w:left="357" w:hanging="142"/>
        <w:jc w:val="both"/>
      </w:pPr>
    </w:p>
    <w:p w14:paraId="00000050" w14:textId="77777777" w:rsidR="000004AB" w:rsidRDefault="000004AB">
      <w:pPr>
        <w:spacing w:after="60" w:line="252" w:lineRule="auto"/>
        <w:ind w:left="357" w:hanging="142"/>
        <w:jc w:val="both"/>
      </w:pPr>
    </w:p>
    <w:p w14:paraId="00000051" w14:textId="77777777" w:rsidR="000004AB" w:rsidRDefault="000004AB">
      <w:pPr>
        <w:spacing w:after="60" w:line="252" w:lineRule="auto"/>
        <w:ind w:left="357" w:hanging="142"/>
        <w:jc w:val="both"/>
      </w:pPr>
    </w:p>
    <w:p w14:paraId="00000052" w14:textId="77777777" w:rsidR="000004AB" w:rsidRDefault="000004AB">
      <w:pPr>
        <w:spacing w:after="60" w:line="252" w:lineRule="auto"/>
        <w:ind w:left="357" w:hanging="142"/>
        <w:jc w:val="both"/>
      </w:pPr>
    </w:p>
    <w:p w14:paraId="00000053" w14:textId="77777777" w:rsidR="000004AB" w:rsidRDefault="000004AB">
      <w:pPr>
        <w:spacing w:after="60" w:line="252" w:lineRule="auto"/>
        <w:ind w:left="357" w:hanging="142"/>
        <w:jc w:val="both"/>
      </w:pPr>
    </w:p>
    <w:p w14:paraId="00000054" w14:textId="77777777" w:rsidR="000004AB" w:rsidRDefault="000004AB">
      <w:pPr>
        <w:spacing w:after="60" w:line="252" w:lineRule="auto"/>
        <w:ind w:left="357" w:hanging="142"/>
        <w:jc w:val="both"/>
      </w:pPr>
    </w:p>
    <w:p w14:paraId="00000055" w14:textId="77777777" w:rsidR="000004AB" w:rsidRDefault="000004AB">
      <w:pPr>
        <w:spacing w:after="60" w:line="252" w:lineRule="auto"/>
        <w:ind w:left="357" w:hanging="142"/>
        <w:jc w:val="both"/>
      </w:pPr>
    </w:p>
    <w:p w14:paraId="00000056" w14:textId="77777777" w:rsidR="000004AB" w:rsidRDefault="000004AB">
      <w:pPr>
        <w:spacing w:after="60" w:line="252" w:lineRule="auto"/>
        <w:ind w:left="357" w:hanging="142"/>
        <w:jc w:val="both"/>
      </w:pPr>
    </w:p>
    <w:p w14:paraId="00000057" w14:textId="77777777" w:rsidR="000004AB" w:rsidRDefault="000004AB">
      <w:pPr>
        <w:spacing w:after="60" w:line="252" w:lineRule="auto"/>
        <w:ind w:left="357" w:hanging="142"/>
        <w:jc w:val="both"/>
      </w:pPr>
    </w:p>
    <w:p w14:paraId="00000058" w14:textId="77777777" w:rsidR="000004AB" w:rsidRDefault="000004AB">
      <w:pPr>
        <w:spacing w:after="60" w:line="252" w:lineRule="auto"/>
        <w:ind w:left="357" w:hanging="142"/>
        <w:jc w:val="both"/>
      </w:pPr>
    </w:p>
    <w:p w14:paraId="00000059" w14:textId="77777777" w:rsidR="000004AB" w:rsidRDefault="000004AB">
      <w:pPr>
        <w:spacing w:after="60" w:line="252" w:lineRule="auto"/>
        <w:ind w:left="357" w:hanging="142"/>
        <w:jc w:val="both"/>
      </w:pPr>
    </w:p>
    <w:p w14:paraId="0000005A" w14:textId="77777777" w:rsidR="000004AB" w:rsidRDefault="000004AB">
      <w:pPr>
        <w:spacing w:after="60" w:line="252" w:lineRule="auto"/>
        <w:ind w:left="357" w:hanging="142"/>
        <w:jc w:val="both"/>
      </w:pPr>
    </w:p>
    <w:p w14:paraId="0000005B" w14:textId="77777777" w:rsidR="000004AB" w:rsidRDefault="000004AB">
      <w:pPr>
        <w:spacing w:after="60" w:line="252" w:lineRule="auto"/>
        <w:ind w:left="357" w:hanging="142"/>
        <w:jc w:val="both"/>
      </w:pPr>
    </w:p>
    <w:p w14:paraId="0000005C" w14:textId="77777777" w:rsidR="000004AB" w:rsidRDefault="000004AB">
      <w:pPr>
        <w:spacing w:after="60" w:line="252" w:lineRule="auto"/>
        <w:ind w:left="357" w:hanging="142"/>
        <w:jc w:val="both"/>
      </w:pPr>
    </w:p>
    <w:p w14:paraId="0000005D" w14:textId="77777777" w:rsidR="000004AB" w:rsidRDefault="000004AB">
      <w:pPr>
        <w:spacing w:after="60" w:line="252" w:lineRule="auto"/>
        <w:ind w:left="357" w:hanging="142"/>
        <w:jc w:val="both"/>
      </w:pPr>
    </w:p>
    <w:p w14:paraId="0000005E" w14:textId="77777777" w:rsidR="000004AB" w:rsidRDefault="000004AB">
      <w:pPr>
        <w:spacing w:after="60" w:line="252" w:lineRule="auto"/>
        <w:ind w:left="357" w:hanging="142"/>
        <w:jc w:val="both"/>
      </w:pPr>
    </w:p>
    <w:p w14:paraId="0000005F" w14:textId="77777777" w:rsidR="000004AB" w:rsidRDefault="000004AB">
      <w:pPr>
        <w:spacing w:after="60" w:line="252" w:lineRule="auto"/>
        <w:ind w:left="357" w:hanging="142"/>
        <w:jc w:val="both"/>
      </w:pPr>
    </w:p>
    <w:p w14:paraId="00000060" w14:textId="77777777" w:rsidR="000004AB" w:rsidRDefault="000004AB">
      <w:pPr>
        <w:spacing w:after="60" w:line="252" w:lineRule="auto"/>
        <w:jc w:val="both"/>
      </w:pPr>
    </w:p>
    <w:p w14:paraId="00000061" w14:textId="77777777" w:rsidR="000004AB" w:rsidRDefault="000004AB">
      <w:pPr>
        <w:spacing w:after="60" w:line="252" w:lineRule="auto"/>
        <w:ind w:left="357" w:hanging="142"/>
        <w:jc w:val="both"/>
      </w:pPr>
    </w:p>
    <w:p w14:paraId="00000062" w14:textId="77777777" w:rsidR="000004AB" w:rsidRDefault="000004AB">
      <w:pPr>
        <w:spacing w:after="60" w:line="252" w:lineRule="auto"/>
        <w:ind w:left="357" w:hanging="142"/>
        <w:jc w:val="both"/>
      </w:pPr>
    </w:p>
    <w:p w14:paraId="00000063" w14:textId="77777777" w:rsidR="000004AB" w:rsidRDefault="000004AB">
      <w:pPr>
        <w:spacing w:after="60" w:line="252" w:lineRule="auto"/>
        <w:ind w:left="357" w:hanging="142"/>
        <w:jc w:val="both"/>
      </w:pPr>
    </w:p>
    <w:p w14:paraId="00000064" w14:textId="77777777" w:rsidR="000004AB" w:rsidRDefault="000004AB">
      <w:pPr>
        <w:spacing w:after="60" w:line="252" w:lineRule="auto"/>
        <w:ind w:left="357" w:hanging="142"/>
        <w:jc w:val="both"/>
      </w:pPr>
    </w:p>
    <w:p w14:paraId="00000065" w14:textId="77777777" w:rsidR="000004AB" w:rsidRDefault="000004AB">
      <w:pPr>
        <w:spacing w:after="60" w:line="252" w:lineRule="auto"/>
        <w:ind w:left="357" w:hanging="142"/>
        <w:jc w:val="both"/>
      </w:pPr>
    </w:p>
    <w:p w14:paraId="00000066" w14:textId="77777777" w:rsidR="000004AB" w:rsidRDefault="000004AB">
      <w:pPr>
        <w:spacing w:after="60" w:line="252" w:lineRule="auto"/>
        <w:ind w:left="357" w:hanging="142"/>
        <w:jc w:val="both"/>
      </w:pPr>
    </w:p>
    <w:p w14:paraId="00000067" w14:textId="77777777" w:rsidR="000004AB" w:rsidRDefault="000004AB">
      <w:pPr>
        <w:spacing w:after="60" w:line="252" w:lineRule="auto"/>
        <w:ind w:left="357" w:hanging="142"/>
        <w:jc w:val="both"/>
      </w:pPr>
    </w:p>
    <w:p w14:paraId="00000068" w14:textId="77777777" w:rsidR="000004AB" w:rsidRDefault="000004AB">
      <w:pPr>
        <w:spacing w:after="60" w:line="252" w:lineRule="auto"/>
        <w:ind w:left="357" w:hanging="142"/>
        <w:jc w:val="both"/>
      </w:pPr>
    </w:p>
    <w:p w14:paraId="00000069" w14:textId="77777777" w:rsidR="000004AB" w:rsidRDefault="000004AB">
      <w:pPr>
        <w:spacing w:after="60" w:line="252" w:lineRule="auto"/>
        <w:ind w:left="357" w:hanging="142"/>
        <w:jc w:val="both"/>
      </w:pPr>
    </w:p>
    <w:p w14:paraId="0000006A" w14:textId="77777777" w:rsidR="000004AB" w:rsidRDefault="000004AB">
      <w:pPr>
        <w:spacing w:after="60" w:line="252" w:lineRule="auto"/>
        <w:ind w:left="357" w:hanging="142"/>
        <w:jc w:val="both"/>
      </w:pPr>
    </w:p>
    <w:p w14:paraId="0000006B" w14:textId="77777777" w:rsidR="000004AB" w:rsidRDefault="000004AB">
      <w:pPr>
        <w:spacing w:after="60" w:line="252" w:lineRule="auto"/>
        <w:ind w:left="357" w:hanging="142"/>
        <w:jc w:val="both"/>
      </w:pPr>
    </w:p>
    <w:p w14:paraId="0000006C" w14:textId="77777777" w:rsidR="000004AB" w:rsidRDefault="000004AB">
      <w:pPr>
        <w:spacing w:after="60" w:line="252" w:lineRule="auto"/>
        <w:ind w:left="357" w:hanging="142"/>
        <w:jc w:val="both"/>
      </w:pPr>
    </w:p>
    <w:p w14:paraId="0000006D" w14:textId="77777777" w:rsidR="000004AB" w:rsidRDefault="00862CB3">
      <w:pPr>
        <w:pBdr>
          <w:top w:val="single" w:sz="4" w:space="0" w:color="BBBBBB"/>
        </w:pBdr>
        <w:spacing w:before="200" w:after="80" w:line="240" w:lineRule="auto"/>
        <w:rPr>
          <w:rFonts w:ascii="Arial" w:eastAsia="Arial" w:hAnsi="Arial" w:cs="Arial"/>
          <w:sz w:val="22"/>
          <w:szCs w:val="22"/>
        </w:rPr>
      </w:pPr>
      <w:r>
        <w:rPr>
          <w:rFonts w:ascii="Arial" w:eastAsia="Arial" w:hAnsi="Arial" w:cs="Arial"/>
          <w:b/>
          <w:bCs/>
          <w:color w:val="666666"/>
          <w:sz w:val="20"/>
          <w:szCs w:val="20"/>
        </w:rPr>
        <w:t>Shënim metodologjik</w:t>
      </w:r>
    </w:p>
    <w:p w14:paraId="0000006E" w14:textId="77777777" w:rsidR="000004AB" w:rsidRDefault="00862CB3">
      <w:pPr>
        <w:spacing w:after="0" w:line="240" w:lineRule="auto"/>
        <w:jc w:val="both"/>
      </w:pPr>
      <w:r>
        <w:rPr>
          <w:rFonts w:ascii="Arial" w:eastAsia="Arial" w:hAnsi="Arial" w:cs="Arial"/>
          <w:color w:val="666666"/>
          <w:sz w:val="18"/>
          <w:szCs w:val="18"/>
        </w:rPr>
        <w:t>Ky dokument është hartuar mbi bazën e transskriptit të plotë të dëgjesës publike dhe përfaqëson të gjitha zërat e shprehura, duke ruajtur balancimin ndërmjet qasjeve divergjente. Ai nuk shpreh qëndrimin zyrtar të Komisionit, por dokumen</w:t>
      </w:r>
      <w:r>
        <w:rPr>
          <w:rFonts w:ascii="Arial" w:eastAsia="Arial" w:hAnsi="Arial" w:cs="Arial"/>
          <w:color w:val="666666"/>
          <w:sz w:val="18"/>
          <w:szCs w:val="18"/>
        </w:rPr>
        <w:t>ton diversitetin e opinioneve të shprehura gjatë sesionit. Dëgjesa u moderua nga Valbona Karakaci, Këshilltare Strategjike pranë projektit Bashkitë Forta, dhe u regjistrua në tërësi. Transkripti i plotë dhe ky raport do të bëhen publike në faqen e reformës</w:t>
      </w:r>
      <w:r>
        <w:rPr>
          <w:rFonts w:ascii="Arial" w:eastAsia="Arial" w:hAnsi="Arial" w:cs="Arial"/>
          <w:color w:val="666666"/>
          <w:sz w:val="18"/>
          <w:szCs w:val="18"/>
        </w:rPr>
        <w:t xml:space="preserve">. </w:t>
      </w:r>
    </w:p>
    <w:sectPr w:rsidR="000004AB">
      <w:headerReference w:type="default" r:id="rId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22ED5" w14:textId="77777777" w:rsidR="00862CB3" w:rsidRDefault="00862CB3">
      <w:pPr>
        <w:spacing w:after="0" w:line="240" w:lineRule="auto"/>
      </w:pPr>
      <w:r>
        <w:separator/>
      </w:r>
    </w:p>
  </w:endnote>
  <w:endnote w:type="continuationSeparator" w:id="0">
    <w:p w14:paraId="400C5807" w14:textId="77777777" w:rsidR="00862CB3" w:rsidRDefault="00862C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embedRegular r:id="rId1" w:fontKey="{26F121CC-B9D1-41CC-AA24-40976579F384}"/>
    <w:embedBold r:id="rId2" w:fontKey="{0E57A947-6278-407D-B860-7DA850655D80}"/>
  </w:font>
  <w:font w:name="Calibri">
    <w:panose1 w:val="020F0502020204030204"/>
    <w:charset w:val="00"/>
    <w:family w:val="swiss"/>
    <w:pitch w:val="variable"/>
    <w:sig w:usb0="E4002EFF" w:usb1="C200247B" w:usb2="00000009" w:usb3="00000000" w:csb0="000001FF" w:csb1="00000000"/>
    <w:embedRegular r:id="rId3" w:fontKey="{21C009E2-93EE-4683-A97C-C01A78C362F9}"/>
    <w:embedBold r:id="rId4" w:fontKey="{BDC2FA22-20DA-4BCF-BE1C-358CFE02BF9D}"/>
    <w:embedItalic r:id="rId5" w:fontKey="{3332F4EA-4670-4BCD-A31D-14BC4FB8DD3F}"/>
    <w:embedBoldItalic r:id="rId6" w:fontKey="{465B5284-0013-4AD3-8D47-924C705DE018}"/>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7" w:fontKey="{01F1BD8A-FE86-4322-850B-466A3610644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1" w14:textId="02876E60" w:rsidR="000004AB" w:rsidRDefault="00862CB3">
    <w:pPr>
      <w:pBdr>
        <w:top w:val="single" w:sz="4" w:space="0" w:color="CCCCCC"/>
      </w:pBdr>
      <w:spacing w:after="0" w:line="240" w:lineRule="auto"/>
      <w:jc w:val="right"/>
      <w:rPr>
        <w:rFonts w:ascii="Arial" w:eastAsia="Arial" w:hAnsi="Arial" w:cs="Arial"/>
        <w:sz w:val="22"/>
        <w:szCs w:val="22"/>
      </w:rPr>
    </w:pPr>
    <w:r>
      <w:rPr>
        <w:rFonts w:ascii="Arial" w:eastAsia="Arial" w:hAnsi="Arial" w:cs="Arial"/>
        <w:color w:val="888888"/>
        <w:sz w:val="18"/>
        <w:szCs w:val="18"/>
      </w:rPr>
      <w:t xml:space="preserve">5 Maj  2026  |  Fq. </w:t>
    </w:r>
    <w:r>
      <w:rPr>
        <w:rFonts w:ascii="Arial" w:eastAsia="Arial" w:hAnsi="Arial" w:cs="Arial"/>
        <w:color w:val="888888"/>
        <w:sz w:val="18"/>
        <w:szCs w:val="18"/>
      </w:rPr>
      <w:fldChar w:fldCharType="begin"/>
    </w:r>
    <w:r>
      <w:rPr>
        <w:rFonts w:ascii="Arial" w:eastAsia="Arial" w:hAnsi="Arial" w:cs="Arial"/>
        <w:color w:val="888888"/>
        <w:sz w:val="18"/>
        <w:szCs w:val="18"/>
      </w:rPr>
      <w:instrText>PAGE</w:instrText>
    </w:r>
    <w:r>
      <w:rPr>
        <w:rFonts w:ascii="Arial" w:eastAsia="Arial" w:hAnsi="Arial" w:cs="Arial"/>
        <w:color w:val="888888"/>
        <w:sz w:val="18"/>
        <w:szCs w:val="18"/>
      </w:rPr>
      <w:fldChar w:fldCharType="separate"/>
    </w:r>
    <w:r w:rsidR="004407BD">
      <w:rPr>
        <w:rFonts w:ascii="Arial" w:eastAsia="Arial" w:hAnsi="Arial" w:cs="Arial"/>
        <w:noProof/>
        <w:color w:val="888888"/>
        <w:sz w:val="18"/>
        <w:szCs w:val="18"/>
      </w:rPr>
      <w:t>1</w:t>
    </w:r>
    <w:r>
      <w:rPr>
        <w:rFonts w:ascii="Arial" w:eastAsia="Arial" w:hAnsi="Arial" w:cs="Arial"/>
        <w:color w:val="888888"/>
        <w:sz w:val="18"/>
        <w:szCs w:val="18"/>
      </w:rPr>
      <w:fldChar w:fldCharType="end"/>
    </w:r>
  </w:p>
  <w:p w14:paraId="00000072" w14:textId="77777777" w:rsidR="000004AB" w:rsidRDefault="000004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BE789" w14:textId="77777777" w:rsidR="00862CB3" w:rsidRDefault="00862CB3">
      <w:pPr>
        <w:spacing w:after="0" w:line="240" w:lineRule="auto"/>
      </w:pPr>
      <w:r>
        <w:separator/>
      </w:r>
    </w:p>
  </w:footnote>
  <w:footnote w:type="continuationSeparator" w:id="0">
    <w:p w14:paraId="414DD47F" w14:textId="77777777" w:rsidR="00862CB3" w:rsidRDefault="00862C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F" w14:textId="77777777" w:rsidR="000004AB" w:rsidRDefault="00862CB3">
    <w:pPr>
      <w:pBdr>
        <w:bottom w:val="single" w:sz="4" w:space="0" w:color="CCCCCC"/>
      </w:pBdr>
      <w:spacing w:after="0" w:line="240" w:lineRule="auto"/>
      <w:rPr>
        <w:rFonts w:ascii="Arial" w:eastAsia="Arial" w:hAnsi="Arial" w:cs="Arial"/>
        <w:sz w:val="22"/>
        <w:szCs w:val="22"/>
      </w:rPr>
    </w:pPr>
    <w:r>
      <w:rPr>
        <w:rFonts w:ascii="Arial" w:eastAsia="Arial" w:hAnsi="Arial" w:cs="Arial"/>
        <w:color w:val="777777"/>
        <w:sz w:val="18"/>
        <w:szCs w:val="18"/>
      </w:rPr>
      <w:t>Komisioni i Posaçëm Parlamentar për Reformën Administrative-Territoriale  |  Dëgjesë Publike – Qarku Vlorë</w:t>
    </w:r>
  </w:p>
  <w:p w14:paraId="00000070" w14:textId="77777777" w:rsidR="000004AB" w:rsidRDefault="000004A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4AB"/>
    <w:rsid w:val="000004AB"/>
    <w:rsid w:val="001C7434"/>
    <w:rsid w:val="004407BD"/>
    <w:rsid w:val="00862CB3"/>
    <w:rsid w:val="00DE3C31"/>
    <w:rsid w:val="00FC5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C8D55"/>
  <w15:docId w15:val="{E79EF69B-978C-40E6-A85A-F2E97218B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1"/>
        <w:szCs w:val="21"/>
        <w:lang w:val="sq"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b/>
      <w:bCs/>
      <w:color w:val="366091"/>
      <w:sz w:val="24"/>
      <w:szCs w:val="24"/>
    </w:rPr>
  </w:style>
  <w:style w:type="paragraph" w:styleId="Heading2">
    <w:name w:val="heading 2"/>
    <w:basedOn w:val="Normal"/>
    <w:next w:val="Normal"/>
    <w:uiPriority w:val="9"/>
    <w:unhideWhenUsed/>
    <w:qFormat/>
    <w:pPr>
      <w:keepNext/>
      <w:keepLines/>
      <w:spacing w:before="200" w:after="0"/>
      <w:outlineLvl w:val="1"/>
    </w:pPr>
    <w:rPr>
      <w:b/>
      <w:bCs/>
      <w:color w:val="4F81BD"/>
      <w:sz w:val="22"/>
      <w:szCs w:val="22"/>
    </w:rPr>
  </w:style>
  <w:style w:type="paragraph" w:styleId="Heading3">
    <w:name w:val="heading 3"/>
    <w:basedOn w:val="Normal"/>
    <w:next w:val="Normal"/>
    <w:uiPriority w:val="9"/>
    <w:semiHidden/>
    <w:unhideWhenUsed/>
    <w:qFormat/>
    <w:pPr>
      <w:keepNext/>
      <w:keepLines/>
      <w:spacing w:before="200" w:after="0"/>
      <w:outlineLvl w:val="2"/>
    </w:pPr>
    <w:rPr>
      <w:rFonts w:ascii="Calibri" w:eastAsia="Calibri" w:hAnsi="Calibri" w:cs="Calibri"/>
      <w:b/>
      <w:bCs/>
      <w:color w:val="4F81BD"/>
    </w:rPr>
  </w:style>
  <w:style w:type="paragraph" w:styleId="Heading4">
    <w:name w:val="heading 4"/>
    <w:basedOn w:val="Normal"/>
    <w:next w:val="Normal"/>
    <w:uiPriority w:val="9"/>
    <w:semiHidden/>
    <w:unhideWhenUsed/>
    <w:qFormat/>
    <w:pPr>
      <w:keepNext/>
      <w:keepLines/>
      <w:spacing w:before="200" w:after="0"/>
      <w:outlineLvl w:val="3"/>
    </w:pPr>
    <w:rPr>
      <w:rFonts w:ascii="Calibri" w:eastAsia="Calibri" w:hAnsi="Calibri" w:cs="Calibri"/>
      <w:b/>
      <w:bCs/>
      <w:i/>
      <w:iCs/>
      <w:color w:val="4F81BD"/>
    </w:rPr>
  </w:style>
  <w:style w:type="paragraph" w:styleId="Heading5">
    <w:name w:val="heading 5"/>
    <w:basedOn w:val="Normal"/>
    <w:next w:val="Normal"/>
    <w:uiPriority w:val="9"/>
    <w:semiHidden/>
    <w:unhideWhenUsed/>
    <w:qFormat/>
    <w:pPr>
      <w:keepNext/>
      <w:keepLines/>
      <w:spacing w:before="200" w:after="0"/>
      <w:outlineLvl w:val="4"/>
    </w:pPr>
    <w:rPr>
      <w:rFonts w:ascii="Calibri" w:eastAsia="Calibri" w:hAnsi="Calibri" w:cs="Calibri"/>
      <w:color w:val="243F61"/>
    </w:rPr>
  </w:style>
  <w:style w:type="paragraph" w:styleId="Heading6">
    <w:name w:val="heading 6"/>
    <w:basedOn w:val="Normal"/>
    <w:next w:val="Normal"/>
    <w:uiPriority w:val="9"/>
    <w:semiHidden/>
    <w:unhideWhenUsed/>
    <w:qFormat/>
    <w:pPr>
      <w:keepNext/>
      <w:keepLines/>
      <w:spacing w:before="200" w:after="0"/>
      <w:outlineLvl w:val="5"/>
    </w:pPr>
    <w:rPr>
      <w:rFonts w:ascii="Calibri" w:eastAsia="Calibri" w:hAnsi="Calibri" w:cs="Calibri"/>
      <w:i/>
      <w:iCs/>
      <w:color w:val="243F6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pBdr>
        <w:bottom w:val="single" w:sz="8" w:space="4" w:color="4F81BD"/>
      </w:pBdr>
      <w:spacing w:after="300" w:line="240" w:lineRule="auto"/>
    </w:pPr>
    <w:rPr>
      <w:rFonts w:ascii="Calibri" w:eastAsia="Calibri" w:hAnsi="Calibri" w:cs="Calibri"/>
      <w:b/>
      <w:bCs/>
      <w:color w:val="17365D"/>
      <w:sz w:val="30"/>
      <w:szCs w:val="30"/>
    </w:rPr>
  </w:style>
  <w:style w:type="paragraph" w:styleId="Subtitle">
    <w:name w:val="Subtitle"/>
    <w:basedOn w:val="Normal"/>
    <w:next w:val="Normal"/>
    <w:uiPriority w:val="11"/>
    <w:qFormat/>
    <w:rPr>
      <w:rFonts w:ascii="Calibri" w:eastAsia="Calibri" w:hAnsi="Calibri" w:cs="Calibri"/>
      <w:i/>
      <w:iCs/>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1775</Words>
  <Characters>10121</Characters>
  <Application>Microsoft Office Word</Application>
  <DocSecurity>0</DocSecurity>
  <Lines>84</Lines>
  <Paragraphs>23</Paragraphs>
  <ScaleCrop>false</ScaleCrop>
  <Company/>
  <LinksUpToDate>false</LinksUpToDate>
  <CharactersWithSpaces>11873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2026-06-02T08:05:00Z</dcterms:created>
  <dcterms:modified xsi:type="dcterms:W3CDTF">2026-06-02T13:30:00Z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2389a735-e66f-4bab-a6e3-191bb3864e88</vt:lpwstr>
  </property>
</Properties>
</file>